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71" w:rsidRDefault="009E4294" w:rsidP="00DE1871">
      <w:pPr>
        <w:pStyle w:val="Default"/>
        <w:rPr>
          <w:b/>
          <w:bCs/>
        </w:rPr>
      </w:pPr>
      <w:bookmarkStart w:id="0" w:name="_GoBack"/>
      <w:bookmarkEnd w:id="0"/>
      <w:r>
        <w:rPr>
          <w:b/>
          <w:bCs/>
        </w:rPr>
        <w:t xml:space="preserve">Appendix 2 - </w:t>
      </w:r>
      <w:r w:rsidR="00DE1871">
        <w:rPr>
          <w:b/>
          <w:bCs/>
        </w:rPr>
        <w:t>Debt Recovery Policy (Reserved Policy)</w:t>
      </w:r>
    </w:p>
    <w:p w:rsidR="008F041A" w:rsidRPr="00E464F9" w:rsidRDefault="008F041A" w:rsidP="008F041A">
      <w:pPr>
        <w:pStyle w:val="Default"/>
        <w:rPr>
          <w:b/>
          <w:color w:val="000000" w:themeColor="text1"/>
        </w:rPr>
      </w:pPr>
    </w:p>
    <w:p w:rsidR="008F041A" w:rsidRPr="00053D1C" w:rsidRDefault="008F041A" w:rsidP="008F041A">
      <w:pPr>
        <w:pStyle w:val="Default"/>
        <w:rPr>
          <w:color w:val="000000" w:themeColor="text1"/>
        </w:rPr>
      </w:pPr>
      <w:r w:rsidRPr="00053D1C">
        <w:rPr>
          <w:b/>
          <w:bCs/>
          <w:color w:val="000000" w:themeColor="text1"/>
        </w:rPr>
        <w:t xml:space="preserve">Introduction </w:t>
      </w:r>
    </w:p>
    <w:p w:rsidR="008F041A" w:rsidRPr="00053D1C" w:rsidRDefault="008F041A" w:rsidP="008F041A">
      <w:pPr>
        <w:pStyle w:val="Default"/>
        <w:rPr>
          <w:color w:val="000000" w:themeColor="text1"/>
        </w:rPr>
      </w:pPr>
    </w:p>
    <w:p w:rsidR="007D3BA8" w:rsidRPr="00053D1C" w:rsidRDefault="000C1076" w:rsidP="008F041A">
      <w:pPr>
        <w:pStyle w:val="Default"/>
        <w:rPr>
          <w:color w:val="000000" w:themeColor="text1"/>
        </w:rPr>
      </w:pPr>
      <w:r w:rsidRPr="00053D1C">
        <w:rPr>
          <w:color w:val="000000" w:themeColor="text1"/>
        </w:rPr>
        <w:t>Oxford City Housing Limited</w:t>
      </w:r>
      <w:r w:rsidR="008F041A" w:rsidRPr="00053D1C">
        <w:rPr>
          <w:color w:val="000000" w:themeColor="text1"/>
        </w:rPr>
        <w:t xml:space="preserve"> </w:t>
      </w:r>
      <w:r w:rsidR="009E567F" w:rsidRPr="00053D1C">
        <w:rPr>
          <w:color w:val="000000" w:themeColor="text1"/>
        </w:rPr>
        <w:t xml:space="preserve">(OCHL) </w:t>
      </w:r>
      <w:r w:rsidRPr="00053D1C">
        <w:rPr>
          <w:color w:val="000000" w:themeColor="text1"/>
        </w:rPr>
        <w:t>has a r</w:t>
      </w:r>
      <w:r w:rsidR="005E5619" w:rsidRPr="00053D1C">
        <w:rPr>
          <w:color w:val="000000" w:themeColor="text1"/>
        </w:rPr>
        <w:t>esponsibility to safeguard its</w:t>
      </w:r>
      <w:r w:rsidRPr="00053D1C">
        <w:rPr>
          <w:color w:val="000000" w:themeColor="text1"/>
        </w:rPr>
        <w:t xml:space="preserve"> financial viability and </w:t>
      </w:r>
      <w:r w:rsidR="009E567F" w:rsidRPr="00053D1C">
        <w:rPr>
          <w:color w:val="000000" w:themeColor="text1"/>
        </w:rPr>
        <w:t>is</w:t>
      </w:r>
      <w:r w:rsidRPr="00053D1C">
        <w:rPr>
          <w:color w:val="000000" w:themeColor="text1"/>
        </w:rPr>
        <w:t xml:space="preserve"> required to </w:t>
      </w:r>
      <w:r w:rsidR="009E567F" w:rsidRPr="00053D1C">
        <w:rPr>
          <w:color w:val="000000" w:themeColor="text1"/>
        </w:rPr>
        <w:t xml:space="preserve">ensure that the payment of rent, service charges </w:t>
      </w:r>
      <w:r w:rsidRPr="00053D1C">
        <w:rPr>
          <w:color w:val="000000" w:themeColor="text1"/>
        </w:rPr>
        <w:t xml:space="preserve">and other </w:t>
      </w:r>
      <w:r w:rsidR="009E567F" w:rsidRPr="00053D1C">
        <w:rPr>
          <w:color w:val="000000" w:themeColor="text1"/>
        </w:rPr>
        <w:t>rechargeable debts</w:t>
      </w:r>
      <w:r w:rsidRPr="00053D1C">
        <w:rPr>
          <w:color w:val="000000" w:themeColor="text1"/>
        </w:rPr>
        <w:t xml:space="preserve"> are made </w:t>
      </w:r>
      <w:r w:rsidR="00BF6598" w:rsidRPr="00053D1C">
        <w:rPr>
          <w:color w:val="000000" w:themeColor="text1"/>
        </w:rPr>
        <w:t xml:space="preserve">promptly </w:t>
      </w:r>
      <w:r w:rsidRPr="00053D1C">
        <w:rPr>
          <w:color w:val="000000" w:themeColor="text1"/>
        </w:rPr>
        <w:t xml:space="preserve">in line with the tenants’ obligations </w:t>
      </w:r>
      <w:r w:rsidR="00D70CD5" w:rsidRPr="00053D1C">
        <w:rPr>
          <w:color w:val="000000" w:themeColor="text1"/>
        </w:rPr>
        <w:t>under</w:t>
      </w:r>
      <w:r w:rsidRPr="00053D1C">
        <w:rPr>
          <w:color w:val="000000" w:themeColor="text1"/>
        </w:rPr>
        <w:t xml:space="preserve"> the Tenancy Agreement.</w:t>
      </w:r>
    </w:p>
    <w:p w:rsidR="007D3BA8" w:rsidRPr="00053D1C" w:rsidRDefault="007D3BA8" w:rsidP="008F041A">
      <w:pPr>
        <w:pStyle w:val="Default"/>
        <w:rPr>
          <w:color w:val="000000" w:themeColor="text1"/>
        </w:rPr>
      </w:pPr>
    </w:p>
    <w:p w:rsidR="008F041A" w:rsidRPr="00053D1C" w:rsidRDefault="00B1035E" w:rsidP="008F041A">
      <w:pPr>
        <w:pStyle w:val="Default"/>
        <w:rPr>
          <w:color w:val="000000" w:themeColor="text1"/>
        </w:rPr>
      </w:pPr>
      <w:r w:rsidRPr="00053D1C">
        <w:rPr>
          <w:color w:val="000000" w:themeColor="text1"/>
        </w:rPr>
        <w:t>Being in debt can be</w:t>
      </w:r>
      <w:r w:rsidR="007D3BA8" w:rsidRPr="00053D1C">
        <w:rPr>
          <w:color w:val="000000" w:themeColor="text1"/>
        </w:rPr>
        <w:t xml:space="preserve"> a major issue for tenants. </w:t>
      </w:r>
      <w:r w:rsidR="005B27AF" w:rsidRPr="00053D1C">
        <w:rPr>
          <w:color w:val="000000" w:themeColor="text1"/>
        </w:rPr>
        <w:t>OCHL</w:t>
      </w:r>
      <w:r w:rsidR="007D3BA8" w:rsidRPr="00053D1C">
        <w:rPr>
          <w:color w:val="000000" w:themeColor="text1"/>
        </w:rPr>
        <w:t xml:space="preserve"> </w:t>
      </w:r>
      <w:r w:rsidR="00BF6598" w:rsidRPr="00053D1C">
        <w:rPr>
          <w:color w:val="000000" w:themeColor="text1"/>
        </w:rPr>
        <w:t>aims</w:t>
      </w:r>
      <w:r w:rsidR="007D3BA8" w:rsidRPr="00053D1C">
        <w:rPr>
          <w:color w:val="000000" w:themeColor="text1"/>
        </w:rPr>
        <w:t xml:space="preserve"> to prevent tenants from accumulating rent </w:t>
      </w:r>
      <w:r w:rsidRPr="00053D1C">
        <w:rPr>
          <w:color w:val="000000" w:themeColor="text1"/>
        </w:rPr>
        <w:t xml:space="preserve">and other </w:t>
      </w:r>
      <w:r w:rsidR="007D3BA8" w:rsidRPr="00053D1C">
        <w:rPr>
          <w:color w:val="000000" w:themeColor="text1"/>
        </w:rPr>
        <w:t>arrears that may trap them between a cycle of poverty or lead to their eviction.</w:t>
      </w:r>
    </w:p>
    <w:p w:rsidR="007D3BA8" w:rsidRPr="00053D1C" w:rsidRDefault="007D3BA8" w:rsidP="008F041A">
      <w:pPr>
        <w:pStyle w:val="Default"/>
        <w:rPr>
          <w:color w:val="000000" w:themeColor="text1"/>
        </w:rPr>
      </w:pPr>
    </w:p>
    <w:p w:rsidR="007D3BA8" w:rsidRPr="00053D1C" w:rsidRDefault="005B27AF" w:rsidP="008F041A">
      <w:pPr>
        <w:pStyle w:val="Default"/>
        <w:rPr>
          <w:color w:val="000000" w:themeColor="text1"/>
        </w:rPr>
      </w:pPr>
      <w:r w:rsidRPr="00053D1C">
        <w:rPr>
          <w:color w:val="000000" w:themeColor="text1"/>
        </w:rPr>
        <w:t>OCHL</w:t>
      </w:r>
      <w:r w:rsidR="00B1035E" w:rsidRPr="00053D1C">
        <w:rPr>
          <w:color w:val="000000" w:themeColor="text1"/>
        </w:rPr>
        <w:t xml:space="preserve"> will</w:t>
      </w:r>
      <w:r w:rsidR="007D3BA8" w:rsidRPr="00053D1C">
        <w:rPr>
          <w:color w:val="000000" w:themeColor="text1"/>
        </w:rPr>
        <w:t xml:space="preserve"> take prompt, appropriate and effective action to prevent and </w:t>
      </w:r>
      <w:r w:rsidR="00D70CD5" w:rsidRPr="00053D1C">
        <w:rPr>
          <w:color w:val="000000" w:themeColor="text1"/>
        </w:rPr>
        <w:t>minimise</w:t>
      </w:r>
      <w:r w:rsidR="007D3BA8" w:rsidRPr="00053D1C">
        <w:rPr>
          <w:color w:val="000000" w:themeColor="text1"/>
        </w:rPr>
        <w:t xml:space="preserve"> rent arrears.</w:t>
      </w:r>
    </w:p>
    <w:p w:rsidR="000C1076" w:rsidRPr="00053D1C" w:rsidRDefault="000C1076" w:rsidP="008F041A">
      <w:pPr>
        <w:pStyle w:val="Default"/>
        <w:rPr>
          <w:b/>
          <w:bCs/>
          <w:color w:val="000000" w:themeColor="text1"/>
        </w:rPr>
      </w:pPr>
    </w:p>
    <w:p w:rsidR="008F041A" w:rsidRPr="00053D1C" w:rsidRDefault="008F041A" w:rsidP="00BF6598">
      <w:pPr>
        <w:pStyle w:val="Default"/>
        <w:rPr>
          <w:color w:val="000000" w:themeColor="text1"/>
        </w:rPr>
      </w:pPr>
      <w:r w:rsidRPr="00053D1C">
        <w:rPr>
          <w:b/>
          <w:bCs/>
          <w:color w:val="000000" w:themeColor="text1"/>
        </w:rPr>
        <w:t xml:space="preserve">Policy Statement </w:t>
      </w:r>
    </w:p>
    <w:p w:rsidR="008F041A" w:rsidRPr="00053D1C" w:rsidRDefault="008F041A" w:rsidP="008F041A">
      <w:pPr>
        <w:pStyle w:val="Default"/>
        <w:rPr>
          <w:color w:val="000000" w:themeColor="text1"/>
        </w:rPr>
      </w:pPr>
    </w:p>
    <w:p w:rsidR="00BF6598" w:rsidRPr="00053D1C" w:rsidRDefault="008F041A" w:rsidP="008F041A">
      <w:pPr>
        <w:pStyle w:val="Default"/>
        <w:rPr>
          <w:color w:val="000000" w:themeColor="text1"/>
        </w:rPr>
      </w:pPr>
      <w:r w:rsidRPr="00053D1C">
        <w:rPr>
          <w:color w:val="000000" w:themeColor="text1"/>
        </w:rPr>
        <w:t xml:space="preserve">This policy determines </w:t>
      </w:r>
      <w:r w:rsidR="00BF6598" w:rsidRPr="00053D1C">
        <w:rPr>
          <w:color w:val="000000" w:themeColor="text1"/>
        </w:rPr>
        <w:t xml:space="preserve">sets out the approach </w:t>
      </w:r>
      <w:r w:rsidR="009E567F" w:rsidRPr="00053D1C">
        <w:rPr>
          <w:color w:val="000000" w:themeColor="text1"/>
        </w:rPr>
        <w:t>OCHL</w:t>
      </w:r>
      <w:r w:rsidRPr="00053D1C">
        <w:rPr>
          <w:color w:val="000000" w:themeColor="text1"/>
        </w:rPr>
        <w:t xml:space="preserve"> will </w:t>
      </w:r>
      <w:r w:rsidR="00BF6598" w:rsidRPr="00053D1C">
        <w:rPr>
          <w:color w:val="000000" w:themeColor="text1"/>
        </w:rPr>
        <w:t xml:space="preserve">take to prevent rent arrears and what action will be taken to recover rent arrears or other OCHL debts. </w:t>
      </w:r>
    </w:p>
    <w:p w:rsidR="00BF6598" w:rsidRPr="00053D1C" w:rsidRDefault="00BF6598" w:rsidP="008F041A">
      <w:pPr>
        <w:pStyle w:val="Default"/>
        <w:rPr>
          <w:color w:val="000000" w:themeColor="text1"/>
        </w:rPr>
      </w:pPr>
    </w:p>
    <w:p w:rsidR="005B27AF" w:rsidRPr="00053D1C" w:rsidRDefault="005B27AF" w:rsidP="008F041A">
      <w:pPr>
        <w:pStyle w:val="Default"/>
        <w:rPr>
          <w:color w:val="000000" w:themeColor="text1"/>
        </w:rPr>
      </w:pPr>
      <w:r w:rsidRPr="00053D1C">
        <w:rPr>
          <w:color w:val="000000" w:themeColor="text1"/>
        </w:rPr>
        <w:t xml:space="preserve">OCHL will ensure that all reasonable steps have been exhausted before considering </w:t>
      </w:r>
      <w:r w:rsidR="005C53D8">
        <w:rPr>
          <w:color w:val="000000" w:themeColor="text1"/>
        </w:rPr>
        <w:t>legal proceedings</w:t>
      </w:r>
      <w:r w:rsidRPr="00053D1C">
        <w:rPr>
          <w:color w:val="000000" w:themeColor="text1"/>
        </w:rPr>
        <w:t>. If a tenant fails to co-operate in reducing arrears OCHL will commence legal action to recover the debt.</w:t>
      </w:r>
    </w:p>
    <w:p w:rsidR="008F041A" w:rsidRPr="00053D1C" w:rsidRDefault="008F041A" w:rsidP="008F041A">
      <w:pPr>
        <w:pStyle w:val="Default"/>
        <w:rPr>
          <w:color w:val="000000" w:themeColor="text1"/>
        </w:rPr>
      </w:pPr>
    </w:p>
    <w:p w:rsidR="008F041A" w:rsidRPr="00053D1C" w:rsidRDefault="009F566C" w:rsidP="00BF6598">
      <w:pPr>
        <w:pStyle w:val="Default"/>
        <w:rPr>
          <w:b/>
          <w:bCs/>
          <w:color w:val="000000" w:themeColor="text1"/>
        </w:rPr>
      </w:pPr>
      <w:r w:rsidRPr="00053D1C">
        <w:rPr>
          <w:b/>
          <w:bCs/>
          <w:color w:val="000000" w:themeColor="text1"/>
        </w:rPr>
        <w:t xml:space="preserve">Objectives </w:t>
      </w:r>
    </w:p>
    <w:p w:rsidR="009F566C" w:rsidRPr="00053D1C" w:rsidRDefault="009F566C" w:rsidP="008F041A">
      <w:pPr>
        <w:pStyle w:val="Default"/>
        <w:rPr>
          <w:color w:val="000000" w:themeColor="text1"/>
        </w:rPr>
      </w:pPr>
    </w:p>
    <w:p w:rsidR="005B27AF" w:rsidRPr="00053D1C" w:rsidRDefault="00BF6598" w:rsidP="009F566C">
      <w:pPr>
        <w:pStyle w:val="Default"/>
        <w:numPr>
          <w:ilvl w:val="0"/>
          <w:numId w:val="2"/>
        </w:numPr>
        <w:rPr>
          <w:color w:val="000000" w:themeColor="text1"/>
        </w:rPr>
      </w:pPr>
      <w:r w:rsidRPr="00053D1C">
        <w:rPr>
          <w:color w:val="000000" w:themeColor="text1"/>
        </w:rPr>
        <w:t>To p</w:t>
      </w:r>
      <w:r w:rsidR="005B27AF" w:rsidRPr="00053D1C">
        <w:rPr>
          <w:color w:val="000000" w:themeColor="text1"/>
        </w:rPr>
        <w:t>romot</w:t>
      </w:r>
      <w:r w:rsidRPr="00053D1C">
        <w:rPr>
          <w:color w:val="000000" w:themeColor="text1"/>
        </w:rPr>
        <w:t>e</w:t>
      </w:r>
      <w:r w:rsidR="005B27AF" w:rsidRPr="00053D1C">
        <w:rPr>
          <w:color w:val="000000" w:themeColor="text1"/>
        </w:rPr>
        <w:t xml:space="preserve"> a payment culture</w:t>
      </w:r>
    </w:p>
    <w:p w:rsidR="008F041A" w:rsidRPr="00053D1C" w:rsidRDefault="00BF6598" w:rsidP="009F566C">
      <w:pPr>
        <w:pStyle w:val="Default"/>
        <w:numPr>
          <w:ilvl w:val="0"/>
          <w:numId w:val="2"/>
        </w:numPr>
        <w:rPr>
          <w:color w:val="000000" w:themeColor="text1"/>
        </w:rPr>
      </w:pPr>
      <w:r w:rsidRPr="00053D1C">
        <w:rPr>
          <w:color w:val="000000" w:themeColor="text1"/>
        </w:rPr>
        <w:t>To p</w:t>
      </w:r>
      <w:r w:rsidR="005B27AF" w:rsidRPr="00053D1C">
        <w:rPr>
          <w:color w:val="000000" w:themeColor="text1"/>
        </w:rPr>
        <w:t>revent</w:t>
      </w:r>
      <w:r w:rsidRPr="00053D1C">
        <w:rPr>
          <w:color w:val="000000" w:themeColor="text1"/>
        </w:rPr>
        <w:t xml:space="preserve"> rent </w:t>
      </w:r>
      <w:r w:rsidR="005B27AF" w:rsidRPr="00053D1C">
        <w:rPr>
          <w:color w:val="000000" w:themeColor="text1"/>
        </w:rPr>
        <w:t>arrears</w:t>
      </w:r>
      <w:r w:rsidR="0061773F" w:rsidRPr="00053D1C">
        <w:rPr>
          <w:color w:val="000000" w:themeColor="text1"/>
        </w:rPr>
        <w:t>, where eviction is seen as a last resort</w:t>
      </w:r>
    </w:p>
    <w:p w:rsidR="008F041A" w:rsidRPr="00053D1C" w:rsidRDefault="008F041A" w:rsidP="009F566C">
      <w:pPr>
        <w:pStyle w:val="Default"/>
        <w:numPr>
          <w:ilvl w:val="0"/>
          <w:numId w:val="2"/>
        </w:numPr>
        <w:rPr>
          <w:color w:val="000000" w:themeColor="text1"/>
        </w:rPr>
      </w:pPr>
      <w:r w:rsidRPr="00053D1C">
        <w:rPr>
          <w:color w:val="000000" w:themeColor="text1"/>
        </w:rPr>
        <w:t xml:space="preserve">To ensure </w:t>
      </w:r>
      <w:r w:rsidR="006053F2" w:rsidRPr="00053D1C">
        <w:rPr>
          <w:color w:val="000000" w:themeColor="text1"/>
        </w:rPr>
        <w:t xml:space="preserve">tenants </w:t>
      </w:r>
      <w:r w:rsidRPr="00053D1C">
        <w:rPr>
          <w:color w:val="000000" w:themeColor="text1"/>
        </w:rPr>
        <w:t>are treated fairly and in accordance with the Equality, Diversity &amp; Customer Care Policy.</w:t>
      </w:r>
    </w:p>
    <w:p w:rsidR="00CE7779" w:rsidRPr="00053D1C" w:rsidRDefault="00BF6598" w:rsidP="009F566C">
      <w:pPr>
        <w:pStyle w:val="Default"/>
        <w:numPr>
          <w:ilvl w:val="0"/>
          <w:numId w:val="2"/>
        </w:numPr>
        <w:rPr>
          <w:color w:val="000000" w:themeColor="text1"/>
        </w:rPr>
      </w:pPr>
      <w:r w:rsidRPr="00053D1C">
        <w:rPr>
          <w:color w:val="000000" w:themeColor="text1"/>
        </w:rPr>
        <w:t xml:space="preserve">To provide clarity regarding the debt </w:t>
      </w:r>
      <w:r w:rsidR="00CE7779" w:rsidRPr="00053D1C">
        <w:rPr>
          <w:color w:val="000000" w:themeColor="text1"/>
        </w:rPr>
        <w:t>recover</w:t>
      </w:r>
      <w:r w:rsidRPr="00053D1C">
        <w:rPr>
          <w:color w:val="000000" w:themeColor="text1"/>
        </w:rPr>
        <w:t>y process</w:t>
      </w:r>
    </w:p>
    <w:p w:rsidR="00A1725F" w:rsidRPr="00053D1C" w:rsidRDefault="00B1035E" w:rsidP="0034028E">
      <w:pPr>
        <w:pStyle w:val="Default"/>
        <w:numPr>
          <w:ilvl w:val="0"/>
          <w:numId w:val="2"/>
        </w:numPr>
        <w:rPr>
          <w:color w:val="000000" w:themeColor="text1"/>
        </w:rPr>
      </w:pPr>
      <w:r w:rsidRPr="00053D1C">
        <w:rPr>
          <w:color w:val="000000" w:themeColor="text1"/>
        </w:rPr>
        <w:t>To p</w:t>
      </w:r>
      <w:r w:rsidR="00CE7779" w:rsidRPr="00053D1C">
        <w:rPr>
          <w:color w:val="000000" w:themeColor="text1"/>
        </w:rPr>
        <w:t>revent</w:t>
      </w:r>
      <w:r w:rsidR="00A1725F" w:rsidRPr="00053D1C">
        <w:rPr>
          <w:color w:val="000000" w:themeColor="text1"/>
        </w:rPr>
        <w:t xml:space="preserve"> </w:t>
      </w:r>
      <w:r w:rsidR="00CE7779" w:rsidRPr="00053D1C">
        <w:rPr>
          <w:color w:val="000000" w:themeColor="text1"/>
        </w:rPr>
        <w:t>homelessness and</w:t>
      </w:r>
      <w:r w:rsidR="00A1725F" w:rsidRPr="00053D1C">
        <w:rPr>
          <w:color w:val="000000" w:themeColor="text1"/>
        </w:rPr>
        <w:t xml:space="preserve"> </w:t>
      </w:r>
      <w:r w:rsidRPr="00053D1C">
        <w:rPr>
          <w:color w:val="000000" w:themeColor="text1"/>
        </w:rPr>
        <w:t>sustain tenancies</w:t>
      </w:r>
      <w:r w:rsidR="00A1725F" w:rsidRPr="00053D1C">
        <w:rPr>
          <w:color w:val="000000" w:themeColor="text1"/>
        </w:rPr>
        <w:t>.</w:t>
      </w:r>
    </w:p>
    <w:p w:rsidR="00A1725F" w:rsidRPr="00053D1C" w:rsidRDefault="00A1725F" w:rsidP="008904D3">
      <w:pPr>
        <w:rPr>
          <w:color w:val="000000" w:themeColor="text1"/>
        </w:rPr>
      </w:pPr>
    </w:p>
    <w:p w:rsidR="00E464F9" w:rsidRDefault="00E464F9">
      <w:pPr>
        <w:rPr>
          <w:b/>
          <w:bCs/>
          <w:color w:val="000000" w:themeColor="text1"/>
        </w:rPr>
      </w:pPr>
      <w:r>
        <w:rPr>
          <w:b/>
          <w:bCs/>
          <w:color w:val="000000" w:themeColor="text1"/>
        </w:rPr>
        <w:br w:type="page"/>
      </w:r>
    </w:p>
    <w:p w:rsidR="008F041A" w:rsidRPr="00053D1C" w:rsidRDefault="005C53D8" w:rsidP="00BF6598">
      <w:pPr>
        <w:pStyle w:val="Default"/>
        <w:rPr>
          <w:b/>
          <w:bCs/>
          <w:color w:val="000000" w:themeColor="text1"/>
        </w:rPr>
      </w:pPr>
      <w:r>
        <w:rPr>
          <w:b/>
          <w:bCs/>
          <w:color w:val="000000" w:themeColor="text1"/>
        </w:rPr>
        <w:lastRenderedPageBreak/>
        <w:t>Support and Customers with Vulnerabilities</w:t>
      </w:r>
    </w:p>
    <w:p w:rsidR="001059BC" w:rsidRPr="00053D1C" w:rsidRDefault="001059BC" w:rsidP="001059BC">
      <w:pPr>
        <w:autoSpaceDE w:val="0"/>
        <w:autoSpaceDN w:val="0"/>
        <w:adjustRightInd w:val="0"/>
        <w:rPr>
          <w:rFonts w:ascii="ArialMT" w:hAnsi="ArialMT" w:cs="ArialMT"/>
          <w:color w:val="000000" w:themeColor="text1"/>
        </w:rPr>
      </w:pPr>
    </w:p>
    <w:p w:rsidR="000A7A3E" w:rsidRPr="00053D1C" w:rsidRDefault="000A7A3E" w:rsidP="0034028E">
      <w:pPr>
        <w:autoSpaceDE w:val="0"/>
        <w:autoSpaceDN w:val="0"/>
        <w:adjustRightInd w:val="0"/>
        <w:rPr>
          <w:color w:val="000000" w:themeColor="text1"/>
        </w:rPr>
      </w:pPr>
      <w:r w:rsidRPr="00053D1C">
        <w:rPr>
          <w:color w:val="000000" w:themeColor="text1"/>
        </w:rPr>
        <w:t>OCHL</w:t>
      </w:r>
      <w:r w:rsidR="000A6605" w:rsidRPr="00053D1C">
        <w:rPr>
          <w:color w:val="000000" w:themeColor="text1"/>
        </w:rPr>
        <w:t xml:space="preserve"> ackn</w:t>
      </w:r>
      <w:r w:rsidR="001059BC" w:rsidRPr="00053D1C">
        <w:rPr>
          <w:color w:val="000000" w:themeColor="text1"/>
        </w:rPr>
        <w:t xml:space="preserve">owledges that </w:t>
      </w:r>
      <w:r w:rsidR="00BF6598" w:rsidRPr="00053D1C">
        <w:rPr>
          <w:color w:val="000000" w:themeColor="text1"/>
        </w:rPr>
        <w:t>the promotion of a payment</w:t>
      </w:r>
      <w:r w:rsidR="0085393A">
        <w:rPr>
          <w:color w:val="000000" w:themeColor="text1"/>
        </w:rPr>
        <w:t xml:space="preserve"> culture from the outset is </w:t>
      </w:r>
      <w:proofErr w:type="gramStart"/>
      <w:r w:rsidR="0085393A">
        <w:rPr>
          <w:color w:val="000000" w:themeColor="text1"/>
        </w:rPr>
        <w:t>key</w:t>
      </w:r>
      <w:proofErr w:type="gramEnd"/>
      <w:r w:rsidR="0085393A">
        <w:rPr>
          <w:color w:val="000000" w:themeColor="text1"/>
        </w:rPr>
        <w:t xml:space="preserve"> </w:t>
      </w:r>
      <w:r w:rsidR="00BF6598" w:rsidRPr="00053D1C">
        <w:rPr>
          <w:color w:val="000000" w:themeColor="text1"/>
        </w:rPr>
        <w:t xml:space="preserve">to preventing </w:t>
      </w:r>
      <w:r w:rsidR="0093777B" w:rsidRPr="00053D1C">
        <w:rPr>
          <w:color w:val="000000" w:themeColor="text1"/>
        </w:rPr>
        <w:t xml:space="preserve">rent </w:t>
      </w:r>
      <w:r w:rsidR="00B1035E" w:rsidRPr="00053D1C">
        <w:rPr>
          <w:color w:val="000000" w:themeColor="text1"/>
        </w:rPr>
        <w:t>arrears</w:t>
      </w:r>
      <w:r w:rsidR="0093777B" w:rsidRPr="00053D1C">
        <w:rPr>
          <w:color w:val="000000" w:themeColor="text1"/>
        </w:rPr>
        <w:t xml:space="preserve">. </w:t>
      </w:r>
      <w:r w:rsidR="005C53D8">
        <w:rPr>
          <w:color w:val="000000" w:themeColor="text1"/>
        </w:rPr>
        <w:t xml:space="preserve">Appropriate support or sign-posting will be provided to each customer dependant on their individual needs. </w:t>
      </w:r>
    </w:p>
    <w:p w:rsidR="001821BE" w:rsidRDefault="001821BE" w:rsidP="00CD5966">
      <w:pPr>
        <w:autoSpaceDE w:val="0"/>
        <w:autoSpaceDN w:val="0"/>
        <w:adjustRightInd w:val="0"/>
        <w:rPr>
          <w:b/>
          <w:color w:val="000000" w:themeColor="text1"/>
        </w:rPr>
      </w:pPr>
    </w:p>
    <w:p w:rsidR="005921D5" w:rsidRPr="00053D1C" w:rsidRDefault="007B2A3E" w:rsidP="0034028E">
      <w:pPr>
        <w:autoSpaceDE w:val="0"/>
        <w:autoSpaceDN w:val="0"/>
        <w:adjustRightInd w:val="0"/>
        <w:rPr>
          <w:color w:val="000000" w:themeColor="text1"/>
        </w:rPr>
      </w:pPr>
      <w:r w:rsidRPr="00053D1C">
        <w:rPr>
          <w:color w:val="000000" w:themeColor="text1"/>
        </w:rPr>
        <w:t xml:space="preserve">Causes of vulnerability can include age, chronic illness, learning difficulties, physical disabilities, mental health and addiction. Any of these vulnerabilities can cause or contribute to financial difficulties. </w:t>
      </w:r>
      <w:r w:rsidR="0093777B" w:rsidRPr="00053D1C">
        <w:rPr>
          <w:color w:val="000000" w:themeColor="text1"/>
        </w:rPr>
        <w:t xml:space="preserve">OCHL will </w:t>
      </w:r>
      <w:r w:rsidR="00CD5966" w:rsidRPr="00053D1C">
        <w:rPr>
          <w:color w:val="000000" w:themeColor="text1"/>
        </w:rPr>
        <w:t>help vulnerable tenants and where appropriate</w:t>
      </w:r>
      <w:r w:rsidR="005921D5" w:rsidRPr="00053D1C">
        <w:rPr>
          <w:color w:val="000000" w:themeColor="text1"/>
        </w:rPr>
        <w:t>,</w:t>
      </w:r>
      <w:r w:rsidR="00CD5966" w:rsidRPr="00053D1C">
        <w:rPr>
          <w:color w:val="000000" w:themeColor="text1"/>
        </w:rPr>
        <w:t xml:space="preserve"> their representatives</w:t>
      </w:r>
      <w:r w:rsidR="005921D5" w:rsidRPr="00053D1C">
        <w:rPr>
          <w:color w:val="000000" w:themeColor="text1"/>
        </w:rPr>
        <w:t>,</w:t>
      </w:r>
      <w:r w:rsidR="00CD5966" w:rsidRPr="00053D1C">
        <w:rPr>
          <w:color w:val="000000" w:themeColor="text1"/>
        </w:rPr>
        <w:t xml:space="preserve"> to be fully aware of their obligation to pay rent a</w:t>
      </w:r>
      <w:r w:rsidR="00C00280" w:rsidRPr="00053D1C">
        <w:rPr>
          <w:color w:val="000000" w:themeColor="text1"/>
        </w:rPr>
        <w:t>nd other charge</w:t>
      </w:r>
      <w:r w:rsidR="00CD5966" w:rsidRPr="00053D1C">
        <w:rPr>
          <w:color w:val="000000" w:themeColor="text1"/>
        </w:rPr>
        <w:t xml:space="preserve">s </w:t>
      </w:r>
      <w:r w:rsidR="005921D5" w:rsidRPr="00053D1C">
        <w:rPr>
          <w:color w:val="000000" w:themeColor="text1"/>
        </w:rPr>
        <w:t xml:space="preserve">when due so that the tenancy can be maintained. </w:t>
      </w:r>
    </w:p>
    <w:p w:rsidR="00DC69EF" w:rsidRPr="00053D1C" w:rsidRDefault="00DC69EF" w:rsidP="0034028E">
      <w:pPr>
        <w:autoSpaceDE w:val="0"/>
        <w:autoSpaceDN w:val="0"/>
        <w:adjustRightInd w:val="0"/>
        <w:rPr>
          <w:color w:val="000000" w:themeColor="text1"/>
        </w:rPr>
      </w:pPr>
    </w:p>
    <w:p w:rsidR="00DC69EF" w:rsidRPr="00053D1C" w:rsidRDefault="00DC69EF" w:rsidP="0034028E">
      <w:pPr>
        <w:autoSpaceDE w:val="0"/>
        <w:autoSpaceDN w:val="0"/>
        <w:adjustRightInd w:val="0"/>
        <w:rPr>
          <w:color w:val="000000" w:themeColor="text1"/>
        </w:rPr>
      </w:pPr>
      <w:r w:rsidRPr="00053D1C">
        <w:rPr>
          <w:color w:val="000000" w:themeColor="text1"/>
        </w:rPr>
        <w:t xml:space="preserve">OCHL provides a Tenancy Sustainment Service that can support vulnerable tenants to maintain their tenancy. </w:t>
      </w:r>
    </w:p>
    <w:p w:rsidR="005921D5" w:rsidRPr="00053D1C" w:rsidRDefault="005921D5" w:rsidP="0034028E">
      <w:pPr>
        <w:autoSpaceDE w:val="0"/>
        <w:autoSpaceDN w:val="0"/>
        <w:adjustRightInd w:val="0"/>
        <w:rPr>
          <w:color w:val="000000" w:themeColor="text1"/>
        </w:rPr>
      </w:pPr>
    </w:p>
    <w:p w:rsidR="00CD5966" w:rsidRPr="00053D1C" w:rsidRDefault="00CD5966" w:rsidP="0034028E">
      <w:pPr>
        <w:autoSpaceDE w:val="0"/>
        <w:autoSpaceDN w:val="0"/>
        <w:adjustRightInd w:val="0"/>
        <w:rPr>
          <w:color w:val="000000" w:themeColor="text1"/>
        </w:rPr>
      </w:pPr>
      <w:r w:rsidRPr="00053D1C">
        <w:rPr>
          <w:color w:val="000000" w:themeColor="text1"/>
        </w:rPr>
        <w:t xml:space="preserve">We will consider </w:t>
      </w:r>
      <w:r w:rsidR="007B2A3E" w:rsidRPr="00053D1C">
        <w:rPr>
          <w:color w:val="000000" w:themeColor="text1"/>
        </w:rPr>
        <w:t>individual circumstances and support needs when considering legal action and work with any support agencies as necessary.</w:t>
      </w:r>
      <w:r w:rsidR="002A32E8" w:rsidRPr="00053D1C">
        <w:rPr>
          <w:color w:val="000000" w:themeColor="text1"/>
        </w:rPr>
        <w:t xml:space="preserve"> </w:t>
      </w:r>
    </w:p>
    <w:p w:rsidR="001059BC" w:rsidRDefault="001059BC" w:rsidP="008F041A">
      <w:pPr>
        <w:pStyle w:val="Default"/>
        <w:rPr>
          <w:b/>
          <w:bCs/>
          <w:color w:val="000000" w:themeColor="text1"/>
        </w:rPr>
      </w:pPr>
    </w:p>
    <w:p w:rsidR="00ED0C38" w:rsidRPr="00ED0C38" w:rsidRDefault="00ED0C38" w:rsidP="00ED0C38">
      <w:pPr>
        <w:autoSpaceDE w:val="0"/>
        <w:autoSpaceDN w:val="0"/>
        <w:adjustRightInd w:val="0"/>
        <w:rPr>
          <w:rFonts w:ascii="ArialMT" w:hAnsi="ArialMT" w:cs="ArialMT"/>
          <w:b/>
          <w:color w:val="000000" w:themeColor="text1"/>
        </w:rPr>
      </w:pPr>
      <w:r>
        <w:rPr>
          <w:rFonts w:ascii="ArialMT" w:hAnsi="ArialMT" w:cs="ArialMT"/>
          <w:b/>
          <w:color w:val="000000" w:themeColor="text1"/>
        </w:rPr>
        <w:t>Grounds for Possession</w:t>
      </w:r>
    </w:p>
    <w:p w:rsidR="00ED0C38" w:rsidRDefault="00ED0C38" w:rsidP="008F041A">
      <w:pPr>
        <w:pStyle w:val="Default"/>
        <w:rPr>
          <w:b/>
          <w:bCs/>
          <w:color w:val="000000" w:themeColor="text1"/>
        </w:rPr>
      </w:pPr>
    </w:p>
    <w:p w:rsidR="00ED0C38" w:rsidRDefault="00ED0C38" w:rsidP="008F041A">
      <w:pPr>
        <w:pStyle w:val="Default"/>
        <w:rPr>
          <w:bCs/>
          <w:color w:val="000000" w:themeColor="text1"/>
        </w:rPr>
      </w:pPr>
      <w:r>
        <w:rPr>
          <w:bCs/>
          <w:color w:val="000000" w:themeColor="text1"/>
        </w:rPr>
        <w:t>OCHL will use grounds for possession 8, 10 and 11 under</w:t>
      </w:r>
      <w:r w:rsidR="00E464F9">
        <w:rPr>
          <w:bCs/>
          <w:color w:val="000000" w:themeColor="text1"/>
        </w:rPr>
        <w:t xml:space="preserve"> Section 8 of</w:t>
      </w:r>
      <w:r>
        <w:rPr>
          <w:bCs/>
          <w:color w:val="000000" w:themeColor="text1"/>
        </w:rPr>
        <w:t xml:space="preserve"> the Housing Act 1988 as necessary during the course of an Assured </w:t>
      </w:r>
      <w:r w:rsidR="00A379A9">
        <w:rPr>
          <w:bCs/>
          <w:color w:val="000000" w:themeColor="text1"/>
        </w:rPr>
        <w:t>(Non-</w:t>
      </w:r>
      <w:r>
        <w:rPr>
          <w:bCs/>
          <w:color w:val="000000" w:themeColor="text1"/>
        </w:rPr>
        <w:t>Shorthold</w:t>
      </w:r>
      <w:r w:rsidR="00A379A9">
        <w:rPr>
          <w:bCs/>
          <w:color w:val="000000" w:themeColor="text1"/>
        </w:rPr>
        <w:t>)</w:t>
      </w:r>
      <w:r>
        <w:rPr>
          <w:bCs/>
          <w:color w:val="000000" w:themeColor="text1"/>
        </w:rPr>
        <w:t xml:space="preserve"> Tenancy.</w:t>
      </w:r>
    </w:p>
    <w:p w:rsidR="004011A3" w:rsidRPr="00053D1C" w:rsidRDefault="004011A3" w:rsidP="004011A3">
      <w:pPr>
        <w:autoSpaceDE w:val="0"/>
        <w:autoSpaceDN w:val="0"/>
        <w:adjustRightInd w:val="0"/>
        <w:rPr>
          <w:color w:val="000000" w:themeColor="text1"/>
        </w:rPr>
      </w:pPr>
      <w:r>
        <w:rPr>
          <w:bCs/>
          <w:color w:val="000000" w:themeColor="text1"/>
        </w:rPr>
        <w:t xml:space="preserve">At the point of reviewing starter tenancies and at the end of the fixed term, OCHL may use a </w:t>
      </w:r>
      <w:r>
        <w:rPr>
          <w:bCs/>
        </w:rPr>
        <w:t xml:space="preserve">Section 21 Notice (under the Housing Act 1988) (to activate the landlord’s break clause) to enable possession proceedings. Where a Section 21 Notice has been served on a Starter Tenancies or at the end of the fixed term, </w:t>
      </w:r>
      <w:r w:rsidRPr="00053D1C">
        <w:rPr>
          <w:color w:val="000000" w:themeColor="text1"/>
        </w:rPr>
        <w:t>OCHL will ensure that there is an appeals process and that the Appeals Panel will decide the merits of the case and determine whet</w:t>
      </w:r>
      <w:r>
        <w:rPr>
          <w:color w:val="000000" w:themeColor="text1"/>
        </w:rPr>
        <w:t>her possession should be sought.</w:t>
      </w:r>
    </w:p>
    <w:p w:rsidR="004011A3" w:rsidRDefault="004011A3" w:rsidP="004011A3">
      <w:pPr>
        <w:pStyle w:val="Default"/>
        <w:rPr>
          <w:b/>
          <w:bCs/>
          <w:color w:val="000000" w:themeColor="text1"/>
        </w:rPr>
      </w:pPr>
    </w:p>
    <w:p w:rsidR="004011A3" w:rsidRPr="00053D1C" w:rsidRDefault="004011A3" w:rsidP="004011A3">
      <w:pPr>
        <w:pStyle w:val="Default"/>
        <w:rPr>
          <w:b/>
          <w:bCs/>
          <w:color w:val="000000" w:themeColor="text1"/>
        </w:rPr>
      </w:pPr>
      <w:r w:rsidRPr="00053D1C">
        <w:rPr>
          <w:b/>
          <w:bCs/>
          <w:color w:val="000000" w:themeColor="text1"/>
        </w:rPr>
        <w:t>Starter Tenancies</w:t>
      </w:r>
    </w:p>
    <w:p w:rsidR="004011A3" w:rsidRPr="00053D1C" w:rsidRDefault="004011A3" w:rsidP="004011A3">
      <w:pPr>
        <w:pStyle w:val="Default"/>
        <w:rPr>
          <w:b/>
          <w:bCs/>
          <w:i/>
          <w:color w:val="000000" w:themeColor="text1"/>
        </w:rPr>
      </w:pPr>
    </w:p>
    <w:p w:rsidR="004011A3" w:rsidRPr="00053D1C" w:rsidRDefault="004011A3" w:rsidP="004011A3">
      <w:pPr>
        <w:autoSpaceDE w:val="0"/>
        <w:autoSpaceDN w:val="0"/>
        <w:adjustRightInd w:val="0"/>
        <w:rPr>
          <w:color w:val="000000" w:themeColor="text1"/>
        </w:rPr>
      </w:pPr>
      <w:r w:rsidRPr="00053D1C">
        <w:rPr>
          <w:color w:val="000000" w:themeColor="text1"/>
        </w:rPr>
        <w:t>If the applicant has not previously been a Council or Housing Association tenant then they will be granted a</w:t>
      </w:r>
      <w:r>
        <w:rPr>
          <w:color w:val="000000" w:themeColor="text1"/>
        </w:rPr>
        <w:t>n Assured Shorthold Tenancy (</w:t>
      </w:r>
      <w:r w:rsidRPr="00053D1C">
        <w:rPr>
          <w:color w:val="000000" w:themeColor="text1"/>
        </w:rPr>
        <w:t>starter tenancy</w:t>
      </w:r>
      <w:r>
        <w:rPr>
          <w:color w:val="000000" w:themeColor="text1"/>
        </w:rPr>
        <w:t>)</w:t>
      </w:r>
      <w:r w:rsidRPr="00053D1C">
        <w:rPr>
          <w:color w:val="000000" w:themeColor="text1"/>
        </w:rPr>
        <w:t xml:space="preserve"> for th</w:t>
      </w:r>
      <w:r>
        <w:rPr>
          <w:color w:val="000000" w:themeColor="text1"/>
        </w:rPr>
        <w:t>e first 12 months</w:t>
      </w:r>
      <w:r w:rsidRPr="00053D1C">
        <w:rPr>
          <w:color w:val="000000" w:themeColor="text1"/>
        </w:rPr>
        <w:t xml:space="preserve">. Where applicants have been a tenant of a Council or housing association tenancy for one year, </w:t>
      </w:r>
      <w:r>
        <w:rPr>
          <w:color w:val="000000" w:themeColor="text1"/>
        </w:rPr>
        <w:t xml:space="preserve">immediately prior to the OCHL tenancy, the </w:t>
      </w:r>
      <w:r w:rsidRPr="00053D1C">
        <w:rPr>
          <w:color w:val="000000" w:themeColor="text1"/>
        </w:rPr>
        <w:t xml:space="preserve">starter </w:t>
      </w:r>
      <w:r>
        <w:rPr>
          <w:color w:val="000000" w:themeColor="text1"/>
        </w:rPr>
        <w:t xml:space="preserve">period of the </w:t>
      </w:r>
      <w:r w:rsidRPr="00053D1C">
        <w:rPr>
          <w:color w:val="000000" w:themeColor="text1"/>
        </w:rPr>
        <w:t>tenanc</w:t>
      </w:r>
      <w:r>
        <w:rPr>
          <w:color w:val="000000" w:themeColor="text1"/>
        </w:rPr>
        <w:t>y</w:t>
      </w:r>
      <w:r w:rsidRPr="00053D1C">
        <w:rPr>
          <w:color w:val="000000" w:themeColor="text1"/>
        </w:rPr>
        <w:t xml:space="preserve"> will not apply.</w:t>
      </w:r>
    </w:p>
    <w:p w:rsidR="003576A6" w:rsidRPr="00053D1C" w:rsidRDefault="003576A6" w:rsidP="003576A6">
      <w:pPr>
        <w:autoSpaceDE w:val="0"/>
        <w:autoSpaceDN w:val="0"/>
        <w:adjustRightInd w:val="0"/>
        <w:rPr>
          <w:color w:val="000000" w:themeColor="text1"/>
        </w:rPr>
      </w:pPr>
    </w:p>
    <w:p w:rsidR="003576A6" w:rsidRPr="00053D1C" w:rsidRDefault="003576A6" w:rsidP="003576A6">
      <w:pPr>
        <w:autoSpaceDE w:val="0"/>
        <w:autoSpaceDN w:val="0"/>
        <w:adjustRightInd w:val="0"/>
        <w:rPr>
          <w:color w:val="000000" w:themeColor="text1"/>
        </w:rPr>
      </w:pPr>
      <w:r>
        <w:rPr>
          <w:color w:val="000000" w:themeColor="text1"/>
        </w:rPr>
        <w:t>Nine months in</w:t>
      </w:r>
      <w:r w:rsidRPr="00053D1C">
        <w:rPr>
          <w:color w:val="000000" w:themeColor="text1"/>
        </w:rPr>
        <w:t xml:space="preserve">to the </w:t>
      </w:r>
      <w:r>
        <w:rPr>
          <w:color w:val="000000" w:themeColor="text1"/>
        </w:rPr>
        <w:t>Assured Shorthold Tenancy (Starter Tenancy)</w:t>
      </w:r>
      <w:r w:rsidRPr="00053D1C">
        <w:rPr>
          <w:color w:val="000000" w:themeColor="text1"/>
        </w:rPr>
        <w:t xml:space="preserve">, </w:t>
      </w:r>
      <w:r>
        <w:rPr>
          <w:color w:val="000000" w:themeColor="text1"/>
        </w:rPr>
        <w:t>a</w:t>
      </w:r>
      <w:r w:rsidRPr="00053D1C">
        <w:rPr>
          <w:color w:val="000000" w:themeColor="text1"/>
        </w:rPr>
        <w:t xml:space="preserve"> review of the tenant’s c</w:t>
      </w:r>
      <w:r>
        <w:rPr>
          <w:color w:val="000000" w:themeColor="text1"/>
        </w:rPr>
        <w:t>onduct</w:t>
      </w:r>
      <w:r w:rsidRPr="00EB1FA6">
        <w:rPr>
          <w:color w:val="000000" w:themeColor="text1"/>
        </w:rPr>
        <w:t xml:space="preserve"> </w:t>
      </w:r>
      <w:r w:rsidRPr="00053D1C">
        <w:rPr>
          <w:color w:val="000000" w:themeColor="text1"/>
        </w:rPr>
        <w:t>will be carried out</w:t>
      </w:r>
      <w:r>
        <w:rPr>
          <w:color w:val="000000" w:themeColor="text1"/>
        </w:rPr>
        <w:t xml:space="preserve">, to determine whether an Assured (Non-Shorthold) Tenancy should be offered at the end of 12 months or </w:t>
      </w:r>
      <w:r w:rsidRPr="00053D1C">
        <w:rPr>
          <w:color w:val="000000" w:themeColor="text1"/>
        </w:rPr>
        <w:t xml:space="preserve">whether the tenancy should be ended at the </w:t>
      </w:r>
      <w:r>
        <w:rPr>
          <w:color w:val="000000" w:themeColor="text1"/>
        </w:rPr>
        <w:t>end of 12 months</w:t>
      </w:r>
      <w:r w:rsidRPr="00053D1C">
        <w:rPr>
          <w:color w:val="000000" w:themeColor="text1"/>
        </w:rPr>
        <w:t xml:space="preserve"> through the service of a Section 21 Notice. The rent payment history </w:t>
      </w:r>
      <w:r>
        <w:rPr>
          <w:color w:val="000000" w:themeColor="text1"/>
        </w:rPr>
        <w:t xml:space="preserve">and the behaviour </w:t>
      </w:r>
      <w:r w:rsidRPr="00053D1C">
        <w:rPr>
          <w:color w:val="000000" w:themeColor="text1"/>
        </w:rPr>
        <w:t xml:space="preserve">of the tenant will be considered as part of the review. </w:t>
      </w:r>
    </w:p>
    <w:p w:rsidR="004011A3" w:rsidRPr="00053D1C" w:rsidRDefault="004011A3" w:rsidP="004011A3">
      <w:pPr>
        <w:autoSpaceDE w:val="0"/>
        <w:autoSpaceDN w:val="0"/>
        <w:adjustRightInd w:val="0"/>
        <w:rPr>
          <w:color w:val="000000" w:themeColor="text1"/>
        </w:rPr>
      </w:pPr>
    </w:p>
    <w:p w:rsidR="004011A3" w:rsidRPr="00053D1C" w:rsidRDefault="004011A3" w:rsidP="004011A3">
      <w:pPr>
        <w:autoSpaceDE w:val="0"/>
        <w:autoSpaceDN w:val="0"/>
        <w:adjustRightInd w:val="0"/>
        <w:rPr>
          <w:b/>
          <w:bCs/>
          <w:color w:val="000000" w:themeColor="text1"/>
        </w:rPr>
      </w:pPr>
      <w:r w:rsidRPr="00053D1C">
        <w:rPr>
          <w:color w:val="000000" w:themeColor="text1"/>
        </w:rPr>
        <w:t xml:space="preserve">OCHL will ensure that there is an appeals process and that the Appeals Panel will decide the merits of the case and determine whether possession should be sought or </w:t>
      </w:r>
      <w:r w:rsidR="003576A6">
        <w:rPr>
          <w:color w:val="000000" w:themeColor="text1"/>
        </w:rPr>
        <w:t>whether an Assured (Non-Shorthold) Tenancy should be granted</w:t>
      </w:r>
      <w:r w:rsidRPr="00053D1C">
        <w:rPr>
          <w:color w:val="000000" w:themeColor="text1"/>
        </w:rPr>
        <w:t>.</w:t>
      </w:r>
      <w:r w:rsidRPr="00053D1C">
        <w:rPr>
          <w:b/>
          <w:bCs/>
          <w:color w:val="000000" w:themeColor="text1"/>
        </w:rPr>
        <w:t xml:space="preserve"> </w:t>
      </w:r>
    </w:p>
    <w:p w:rsidR="00ED0C38" w:rsidRDefault="00ED0C38" w:rsidP="008F041A">
      <w:pPr>
        <w:pStyle w:val="Default"/>
        <w:rPr>
          <w:bCs/>
          <w:color w:val="000000" w:themeColor="text1"/>
        </w:rPr>
      </w:pPr>
    </w:p>
    <w:p w:rsidR="001059BC" w:rsidRPr="00053D1C" w:rsidRDefault="00066061" w:rsidP="005C6F5B">
      <w:pPr>
        <w:pStyle w:val="Default"/>
        <w:rPr>
          <w:b/>
          <w:bCs/>
          <w:color w:val="000000" w:themeColor="text1"/>
        </w:rPr>
      </w:pPr>
      <w:r w:rsidRPr="00053D1C">
        <w:rPr>
          <w:b/>
          <w:bCs/>
          <w:color w:val="000000" w:themeColor="text1"/>
        </w:rPr>
        <w:t xml:space="preserve">Assured </w:t>
      </w:r>
      <w:r w:rsidR="00A379A9">
        <w:rPr>
          <w:b/>
          <w:bCs/>
          <w:color w:val="000000" w:themeColor="text1"/>
        </w:rPr>
        <w:t>(Non-</w:t>
      </w:r>
      <w:r w:rsidRPr="00053D1C">
        <w:rPr>
          <w:b/>
          <w:bCs/>
          <w:color w:val="000000" w:themeColor="text1"/>
        </w:rPr>
        <w:t>Shorthold</w:t>
      </w:r>
      <w:r w:rsidR="00A379A9">
        <w:rPr>
          <w:b/>
          <w:bCs/>
          <w:color w:val="000000" w:themeColor="text1"/>
        </w:rPr>
        <w:t>)</w:t>
      </w:r>
      <w:r w:rsidRPr="00053D1C">
        <w:rPr>
          <w:b/>
          <w:bCs/>
          <w:color w:val="000000" w:themeColor="text1"/>
        </w:rPr>
        <w:t xml:space="preserve"> </w:t>
      </w:r>
      <w:r w:rsidR="005C53D8">
        <w:rPr>
          <w:b/>
          <w:bCs/>
          <w:color w:val="000000" w:themeColor="text1"/>
        </w:rPr>
        <w:t xml:space="preserve">Tenancies </w:t>
      </w:r>
    </w:p>
    <w:p w:rsidR="00D65461" w:rsidRPr="00053D1C" w:rsidRDefault="000A6605" w:rsidP="000A6605">
      <w:pPr>
        <w:pStyle w:val="Default"/>
        <w:tabs>
          <w:tab w:val="left" w:pos="1365"/>
        </w:tabs>
        <w:rPr>
          <w:b/>
          <w:bCs/>
          <w:i/>
          <w:color w:val="000000" w:themeColor="text1"/>
        </w:rPr>
      </w:pPr>
      <w:r w:rsidRPr="00053D1C">
        <w:rPr>
          <w:b/>
          <w:bCs/>
          <w:i/>
          <w:color w:val="000000" w:themeColor="text1"/>
        </w:rPr>
        <w:tab/>
      </w:r>
    </w:p>
    <w:p w:rsidR="0080740D" w:rsidRDefault="0080740D" w:rsidP="0080740D">
      <w:pPr>
        <w:autoSpaceDE w:val="0"/>
        <w:autoSpaceDN w:val="0"/>
        <w:adjustRightInd w:val="0"/>
        <w:rPr>
          <w:color w:val="000000" w:themeColor="text1"/>
        </w:rPr>
      </w:pPr>
      <w:r w:rsidRPr="00053D1C">
        <w:rPr>
          <w:color w:val="000000" w:themeColor="text1"/>
        </w:rPr>
        <w:t xml:space="preserve">Rent is payable monthly in advance, and payments by Direct Debit are encouraged, although alternative payment methods may be available. </w:t>
      </w:r>
    </w:p>
    <w:p w:rsidR="0080740D" w:rsidRDefault="0080740D" w:rsidP="0080740D">
      <w:pPr>
        <w:autoSpaceDE w:val="0"/>
        <w:autoSpaceDN w:val="0"/>
        <w:adjustRightInd w:val="0"/>
        <w:rPr>
          <w:color w:val="000000" w:themeColor="text1"/>
        </w:rPr>
      </w:pPr>
    </w:p>
    <w:p w:rsidR="0080740D" w:rsidRPr="00053D1C" w:rsidRDefault="0080740D" w:rsidP="0080740D">
      <w:pPr>
        <w:autoSpaceDE w:val="0"/>
        <w:autoSpaceDN w:val="0"/>
        <w:adjustRightInd w:val="0"/>
        <w:rPr>
          <w:color w:val="000000" w:themeColor="text1"/>
        </w:rPr>
      </w:pPr>
      <w:r w:rsidRPr="00053D1C">
        <w:rPr>
          <w:color w:val="000000" w:themeColor="text1"/>
        </w:rPr>
        <w:t>Recovery processes will be explained to new tenants during pre-tenancy work and subsequently at the tenant’s sign-up interview.</w:t>
      </w:r>
    </w:p>
    <w:p w:rsidR="0080740D" w:rsidRPr="00053D1C" w:rsidRDefault="0080740D" w:rsidP="0080740D">
      <w:pPr>
        <w:autoSpaceDE w:val="0"/>
        <w:autoSpaceDN w:val="0"/>
        <w:adjustRightInd w:val="0"/>
        <w:rPr>
          <w:color w:val="000000" w:themeColor="text1"/>
        </w:rPr>
      </w:pPr>
    </w:p>
    <w:p w:rsidR="0080740D" w:rsidRPr="00053D1C" w:rsidRDefault="00F903F7" w:rsidP="0080740D">
      <w:pPr>
        <w:autoSpaceDE w:val="0"/>
        <w:autoSpaceDN w:val="0"/>
        <w:adjustRightInd w:val="0"/>
        <w:rPr>
          <w:color w:val="000000" w:themeColor="text1"/>
        </w:rPr>
      </w:pPr>
      <w:r w:rsidRPr="00053D1C">
        <w:rPr>
          <w:rFonts w:eastAsia="Times New Roman"/>
          <w:color w:val="000000" w:themeColor="text1"/>
          <w:szCs w:val="20"/>
        </w:rPr>
        <w:t xml:space="preserve">Tenants </w:t>
      </w:r>
      <w:r w:rsidR="000A6605" w:rsidRPr="00053D1C">
        <w:rPr>
          <w:rFonts w:eastAsia="Times New Roman"/>
          <w:color w:val="000000" w:themeColor="text1"/>
          <w:szCs w:val="20"/>
        </w:rPr>
        <w:t xml:space="preserve">will be advised </w:t>
      </w:r>
      <w:r w:rsidRPr="00053D1C">
        <w:rPr>
          <w:rFonts w:eastAsia="Times New Roman"/>
          <w:color w:val="000000" w:themeColor="text1"/>
          <w:szCs w:val="20"/>
        </w:rPr>
        <w:t>of</w:t>
      </w:r>
      <w:r w:rsidR="00D65461" w:rsidRPr="00053D1C">
        <w:rPr>
          <w:rFonts w:eastAsia="Times New Roman"/>
          <w:color w:val="000000" w:themeColor="text1"/>
          <w:szCs w:val="20"/>
        </w:rPr>
        <w:t xml:space="preserve"> any arrears or</w:t>
      </w:r>
      <w:r w:rsidR="000A6605" w:rsidRPr="00053D1C">
        <w:rPr>
          <w:rFonts w:eastAsia="Times New Roman"/>
          <w:color w:val="000000" w:themeColor="text1"/>
          <w:szCs w:val="20"/>
        </w:rPr>
        <w:t xml:space="preserve"> an </w:t>
      </w:r>
      <w:r w:rsidR="00A1725F" w:rsidRPr="00053D1C">
        <w:rPr>
          <w:rFonts w:eastAsia="Times New Roman"/>
          <w:color w:val="000000" w:themeColor="text1"/>
          <w:szCs w:val="20"/>
        </w:rPr>
        <w:t xml:space="preserve">unacceptable payment pattern </w:t>
      </w:r>
      <w:r w:rsidR="0018578B" w:rsidRPr="00053D1C">
        <w:rPr>
          <w:rFonts w:eastAsia="Times New Roman"/>
          <w:color w:val="000000" w:themeColor="text1"/>
          <w:szCs w:val="20"/>
        </w:rPr>
        <w:t>promptly</w:t>
      </w:r>
      <w:r w:rsidR="00D65461" w:rsidRPr="00053D1C">
        <w:rPr>
          <w:rFonts w:eastAsia="Times New Roman"/>
          <w:color w:val="000000" w:themeColor="text1"/>
          <w:szCs w:val="20"/>
        </w:rPr>
        <w:t xml:space="preserve"> after these arise.</w:t>
      </w:r>
      <w:r w:rsidR="0080740D">
        <w:rPr>
          <w:rFonts w:eastAsia="Times New Roman"/>
          <w:color w:val="000000" w:themeColor="text1"/>
          <w:szCs w:val="20"/>
        </w:rPr>
        <w:t xml:space="preserve"> </w:t>
      </w:r>
      <w:r w:rsidR="0080740D" w:rsidRPr="00053D1C">
        <w:rPr>
          <w:color w:val="000000" w:themeColor="text1"/>
        </w:rPr>
        <w:t xml:space="preserve">OCHL will make every effort to reach an agreement with the tenant to clear the arrears. </w:t>
      </w:r>
    </w:p>
    <w:p w:rsidR="00D65461" w:rsidRPr="00053D1C" w:rsidRDefault="00D65461" w:rsidP="000A6605">
      <w:pPr>
        <w:jc w:val="both"/>
        <w:rPr>
          <w:rFonts w:eastAsia="Times New Roman"/>
          <w:color w:val="000000" w:themeColor="text1"/>
          <w:szCs w:val="20"/>
        </w:rPr>
      </w:pPr>
    </w:p>
    <w:p w:rsidR="0080740D" w:rsidRPr="00053D1C" w:rsidRDefault="0080740D" w:rsidP="0080740D">
      <w:pPr>
        <w:autoSpaceDE w:val="0"/>
        <w:autoSpaceDN w:val="0"/>
        <w:adjustRightInd w:val="0"/>
        <w:rPr>
          <w:rFonts w:eastAsia="Times New Roman"/>
          <w:color w:val="000000" w:themeColor="text1"/>
          <w:szCs w:val="20"/>
        </w:rPr>
      </w:pPr>
      <w:r w:rsidRPr="00053D1C">
        <w:rPr>
          <w:color w:val="000000" w:themeColor="text1"/>
        </w:rPr>
        <w:t>If the tenant fails to comply with an arrangement to clear the arrears or is persistently in arrears, OCHL will consider possession proceedings using any appropriate ground(s) for possession. OCHL will always seek Court Costs for any claim</w:t>
      </w:r>
      <w:r>
        <w:rPr>
          <w:color w:val="000000" w:themeColor="text1"/>
        </w:rPr>
        <w:t>.</w:t>
      </w:r>
    </w:p>
    <w:p w:rsidR="00CD16A1" w:rsidRPr="00053D1C" w:rsidRDefault="00CD16A1" w:rsidP="00CD16A1">
      <w:pPr>
        <w:autoSpaceDE w:val="0"/>
        <w:autoSpaceDN w:val="0"/>
        <w:adjustRightInd w:val="0"/>
        <w:rPr>
          <w:color w:val="000000" w:themeColor="text1"/>
        </w:rPr>
      </w:pPr>
    </w:p>
    <w:p w:rsidR="00A1725F" w:rsidRPr="00053D1C" w:rsidRDefault="0018578B" w:rsidP="00CD16A1">
      <w:pPr>
        <w:autoSpaceDE w:val="0"/>
        <w:autoSpaceDN w:val="0"/>
        <w:adjustRightInd w:val="0"/>
        <w:rPr>
          <w:color w:val="000000" w:themeColor="text1"/>
        </w:rPr>
      </w:pPr>
      <w:r w:rsidRPr="00053D1C">
        <w:rPr>
          <w:color w:val="000000" w:themeColor="text1"/>
        </w:rPr>
        <w:t>OCHL will fully comply with the Pre-Action P</w:t>
      </w:r>
      <w:r w:rsidR="00A1725F" w:rsidRPr="00053D1C">
        <w:rPr>
          <w:color w:val="000000" w:themeColor="text1"/>
        </w:rPr>
        <w:t>rotocol</w:t>
      </w:r>
      <w:r w:rsidRPr="00053D1C">
        <w:rPr>
          <w:color w:val="000000" w:themeColor="text1"/>
        </w:rPr>
        <w:t xml:space="preserve"> for Possession Claims by Private Landlords</w:t>
      </w:r>
      <w:r w:rsidR="00A1725F" w:rsidRPr="00053D1C">
        <w:rPr>
          <w:color w:val="000000" w:themeColor="text1"/>
        </w:rPr>
        <w:t>.</w:t>
      </w:r>
      <w:r w:rsidRPr="00053D1C">
        <w:rPr>
          <w:color w:val="000000" w:themeColor="text1"/>
        </w:rPr>
        <w:t xml:space="preserve"> </w:t>
      </w:r>
    </w:p>
    <w:p w:rsidR="00A379A9" w:rsidRPr="00053D1C" w:rsidRDefault="00A379A9" w:rsidP="005C6F5B">
      <w:pPr>
        <w:autoSpaceDE w:val="0"/>
        <w:autoSpaceDN w:val="0"/>
        <w:adjustRightInd w:val="0"/>
        <w:rPr>
          <w:color w:val="000000" w:themeColor="text1"/>
        </w:rPr>
      </w:pPr>
    </w:p>
    <w:p w:rsidR="00FD0F9A" w:rsidRPr="00053D1C" w:rsidRDefault="00FD0F9A" w:rsidP="00DC69EF">
      <w:pPr>
        <w:autoSpaceDE w:val="0"/>
        <w:autoSpaceDN w:val="0"/>
        <w:adjustRightInd w:val="0"/>
        <w:rPr>
          <w:b/>
          <w:color w:val="000000" w:themeColor="text1"/>
        </w:rPr>
      </w:pPr>
      <w:r w:rsidRPr="00053D1C">
        <w:rPr>
          <w:b/>
          <w:color w:val="000000" w:themeColor="text1"/>
        </w:rPr>
        <w:t>Refunds</w:t>
      </w:r>
    </w:p>
    <w:p w:rsidR="00FD0F9A" w:rsidRPr="00053D1C" w:rsidRDefault="00FD0F9A" w:rsidP="00FD0F9A">
      <w:pPr>
        <w:autoSpaceDE w:val="0"/>
        <w:autoSpaceDN w:val="0"/>
        <w:adjustRightInd w:val="0"/>
        <w:rPr>
          <w:color w:val="000000" w:themeColor="text1"/>
        </w:rPr>
      </w:pPr>
    </w:p>
    <w:p w:rsidR="00FD0F9A" w:rsidRPr="00053D1C" w:rsidRDefault="00FD0F9A" w:rsidP="00FD0F9A">
      <w:pPr>
        <w:autoSpaceDE w:val="0"/>
        <w:autoSpaceDN w:val="0"/>
        <w:adjustRightInd w:val="0"/>
        <w:rPr>
          <w:color w:val="000000" w:themeColor="text1"/>
        </w:rPr>
      </w:pPr>
      <w:r w:rsidRPr="00053D1C">
        <w:rPr>
          <w:color w:val="000000" w:themeColor="text1"/>
        </w:rPr>
        <w:t>In accordance with the tenancy agreement rent is payable in advance and the</w:t>
      </w:r>
    </w:p>
    <w:p w:rsidR="00FD0F9A" w:rsidRPr="00053D1C" w:rsidRDefault="002E7E11" w:rsidP="00FD0F9A">
      <w:pPr>
        <w:autoSpaceDE w:val="0"/>
        <w:autoSpaceDN w:val="0"/>
        <w:adjustRightInd w:val="0"/>
        <w:rPr>
          <w:color w:val="000000" w:themeColor="text1"/>
        </w:rPr>
      </w:pPr>
      <w:r w:rsidRPr="00053D1C">
        <w:rPr>
          <w:color w:val="000000" w:themeColor="text1"/>
        </w:rPr>
        <w:t>Company will</w:t>
      </w:r>
      <w:r w:rsidR="00FD0F9A" w:rsidRPr="00053D1C">
        <w:rPr>
          <w:color w:val="000000" w:themeColor="text1"/>
        </w:rPr>
        <w:t xml:space="preserve"> not refund credit on </w:t>
      </w:r>
      <w:r w:rsidR="0034028E" w:rsidRPr="00053D1C">
        <w:rPr>
          <w:color w:val="000000" w:themeColor="text1"/>
        </w:rPr>
        <w:t xml:space="preserve">an </w:t>
      </w:r>
      <w:r w:rsidR="00FD0F9A" w:rsidRPr="00053D1C">
        <w:rPr>
          <w:color w:val="000000" w:themeColor="text1"/>
        </w:rPr>
        <w:t>account where this will result in arrears</w:t>
      </w:r>
    </w:p>
    <w:p w:rsidR="002C2BE0" w:rsidRDefault="00DC69EF" w:rsidP="00FD0F9A">
      <w:pPr>
        <w:autoSpaceDE w:val="0"/>
        <w:autoSpaceDN w:val="0"/>
        <w:adjustRightInd w:val="0"/>
        <w:rPr>
          <w:color w:val="000000" w:themeColor="text1"/>
        </w:rPr>
      </w:pPr>
      <w:proofErr w:type="gramStart"/>
      <w:r w:rsidRPr="00053D1C">
        <w:rPr>
          <w:color w:val="000000" w:themeColor="text1"/>
        </w:rPr>
        <w:t>building</w:t>
      </w:r>
      <w:proofErr w:type="gramEnd"/>
      <w:r w:rsidRPr="00053D1C">
        <w:rPr>
          <w:color w:val="000000" w:themeColor="text1"/>
        </w:rPr>
        <w:t xml:space="preserve"> up</w:t>
      </w:r>
      <w:r w:rsidR="00FD0F9A" w:rsidRPr="00053D1C">
        <w:rPr>
          <w:color w:val="000000" w:themeColor="text1"/>
        </w:rPr>
        <w:t xml:space="preserve"> before the next payment is expected. </w:t>
      </w:r>
    </w:p>
    <w:p w:rsidR="00E464F9" w:rsidRDefault="00E464F9" w:rsidP="00FD0F9A">
      <w:pPr>
        <w:autoSpaceDE w:val="0"/>
        <w:autoSpaceDN w:val="0"/>
        <w:adjustRightInd w:val="0"/>
        <w:rPr>
          <w:color w:val="000000" w:themeColor="text1"/>
        </w:rPr>
      </w:pPr>
    </w:p>
    <w:p w:rsidR="00E464F9" w:rsidRDefault="00E464F9" w:rsidP="00E464F9">
      <w:pPr>
        <w:autoSpaceDE w:val="0"/>
        <w:autoSpaceDN w:val="0"/>
        <w:adjustRightInd w:val="0"/>
        <w:rPr>
          <w:b/>
          <w:color w:val="000000" w:themeColor="text1"/>
        </w:rPr>
      </w:pPr>
      <w:r>
        <w:rPr>
          <w:b/>
          <w:color w:val="000000" w:themeColor="text1"/>
        </w:rPr>
        <w:t>Write-offs</w:t>
      </w:r>
    </w:p>
    <w:p w:rsidR="00E464F9" w:rsidRDefault="00E464F9" w:rsidP="00E464F9">
      <w:pPr>
        <w:autoSpaceDE w:val="0"/>
        <w:autoSpaceDN w:val="0"/>
        <w:adjustRightInd w:val="0"/>
        <w:rPr>
          <w:b/>
          <w:color w:val="000000" w:themeColor="text1"/>
        </w:rPr>
      </w:pPr>
    </w:p>
    <w:p w:rsidR="00E464F9" w:rsidRDefault="00E464F9" w:rsidP="00E464F9">
      <w:pPr>
        <w:autoSpaceDE w:val="0"/>
        <w:autoSpaceDN w:val="0"/>
        <w:adjustRightInd w:val="0"/>
        <w:rPr>
          <w:color w:val="000000" w:themeColor="text1"/>
        </w:rPr>
      </w:pPr>
      <w:r>
        <w:rPr>
          <w:color w:val="000000" w:themeColor="text1"/>
        </w:rPr>
        <w:t xml:space="preserve">OCHL will not generally write-off rent on current tenancies unless the property is uninhabitable through no fault of the tenant. </w:t>
      </w:r>
    </w:p>
    <w:p w:rsidR="00E464F9" w:rsidRDefault="00E464F9" w:rsidP="00E464F9">
      <w:pPr>
        <w:autoSpaceDE w:val="0"/>
        <w:autoSpaceDN w:val="0"/>
        <w:adjustRightInd w:val="0"/>
        <w:rPr>
          <w:color w:val="000000" w:themeColor="text1"/>
        </w:rPr>
      </w:pPr>
    </w:p>
    <w:p w:rsidR="00E464F9" w:rsidRDefault="00E464F9" w:rsidP="00E464F9">
      <w:pPr>
        <w:autoSpaceDE w:val="0"/>
        <w:autoSpaceDN w:val="0"/>
        <w:adjustRightInd w:val="0"/>
        <w:rPr>
          <w:color w:val="000000" w:themeColor="text1"/>
        </w:rPr>
      </w:pPr>
      <w:r>
        <w:rPr>
          <w:color w:val="000000" w:themeColor="text1"/>
        </w:rPr>
        <w:t>OCHL will not generally write-off any debt owed by a current tenant.</w:t>
      </w:r>
    </w:p>
    <w:p w:rsidR="00E464F9" w:rsidRDefault="00E464F9" w:rsidP="00E464F9">
      <w:pPr>
        <w:autoSpaceDE w:val="0"/>
        <w:autoSpaceDN w:val="0"/>
        <w:adjustRightInd w:val="0"/>
        <w:rPr>
          <w:color w:val="000000" w:themeColor="text1"/>
        </w:rPr>
      </w:pPr>
    </w:p>
    <w:p w:rsidR="00E464F9" w:rsidRDefault="00E464F9" w:rsidP="00E464F9">
      <w:pPr>
        <w:autoSpaceDE w:val="0"/>
        <w:autoSpaceDN w:val="0"/>
        <w:adjustRightInd w:val="0"/>
        <w:rPr>
          <w:color w:val="000000" w:themeColor="text1"/>
        </w:rPr>
      </w:pPr>
      <w:r>
        <w:rPr>
          <w:color w:val="000000" w:themeColor="text1"/>
        </w:rPr>
        <w:t>Where current rent is required to be written-off under the terms of bankruptcy, an administration order, a debt relief order or any equivalent scheme, OCHL will seek possession of the property.</w:t>
      </w:r>
    </w:p>
    <w:p w:rsidR="00E464F9" w:rsidRDefault="00E464F9" w:rsidP="00E464F9">
      <w:pPr>
        <w:autoSpaceDE w:val="0"/>
        <w:autoSpaceDN w:val="0"/>
        <w:adjustRightInd w:val="0"/>
        <w:rPr>
          <w:color w:val="000000" w:themeColor="text1"/>
        </w:rPr>
      </w:pPr>
    </w:p>
    <w:p w:rsidR="00E464F9" w:rsidRPr="009B3784" w:rsidRDefault="00E464F9" w:rsidP="00E464F9">
      <w:pPr>
        <w:autoSpaceDE w:val="0"/>
        <w:autoSpaceDN w:val="0"/>
        <w:adjustRightInd w:val="0"/>
        <w:rPr>
          <w:color w:val="000000" w:themeColor="text1"/>
        </w:rPr>
      </w:pPr>
      <w:r>
        <w:rPr>
          <w:color w:val="000000" w:themeColor="text1"/>
        </w:rPr>
        <w:t>Any debt that has been written-</w:t>
      </w:r>
      <w:proofErr w:type="gramStart"/>
      <w:r>
        <w:rPr>
          <w:color w:val="000000" w:themeColor="text1"/>
        </w:rPr>
        <w:t>off,</w:t>
      </w:r>
      <w:proofErr w:type="gramEnd"/>
      <w:r>
        <w:rPr>
          <w:color w:val="000000" w:themeColor="text1"/>
        </w:rPr>
        <w:t xml:space="preserve"> can be “written-on” if the circumstances regarding the debtor changes.</w:t>
      </w:r>
    </w:p>
    <w:p w:rsidR="00E464F9" w:rsidRDefault="00E464F9" w:rsidP="00E464F9">
      <w:pPr>
        <w:autoSpaceDE w:val="0"/>
        <w:autoSpaceDN w:val="0"/>
        <w:adjustRightInd w:val="0"/>
        <w:rPr>
          <w:color w:val="000000" w:themeColor="text1"/>
        </w:rPr>
      </w:pPr>
    </w:p>
    <w:p w:rsidR="00E464F9" w:rsidRDefault="00E464F9" w:rsidP="00E464F9">
      <w:pPr>
        <w:autoSpaceDE w:val="0"/>
        <w:autoSpaceDN w:val="0"/>
        <w:adjustRightInd w:val="0"/>
        <w:rPr>
          <w:color w:val="000000" w:themeColor="text1"/>
        </w:rPr>
      </w:pPr>
      <w:r>
        <w:rPr>
          <w:color w:val="000000" w:themeColor="text1"/>
        </w:rPr>
        <w:t xml:space="preserve">OCHL will make provision for bad debts. </w:t>
      </w:r>
      <w:r w:rsidRPr="009B3784">
        <w:rPr>
          <w:color w:val="000000" w:themeColor="text1"/>
        </w:rPr>
        <w:t xml:space="preserve">All write-offs by OCHL will be classified as bad debt. </w:t>
      </w:r>
    </w:p>
    <w:p w:rsidR="00E464F9" w:rsidRDefault="00E464F9" w:rsidP="00E464F9">
      <w:pPr>
        <w:autoSpaceDE w:val="0"/>
        <w:autoSpaceDN w:val="0"/>
        <w:adjustRightInd w:val="0"/>
        <w:rPr>
          <w:color w:val="000000" w:themeColor="text1"/>
        </w:rPr>
      </w:pPr>
    </w:p>
    <w:p w:rsidR="002255FC" w:rsidRDefault="00E464F9" w:rsidP="002255FC">
      <w:pPr>
        <w:autoSpaceDE w:val="0"/>
        <w:autoSpaceDN w:val="0"/>
        <w:adjustRightInd w:val="0"/>
        <w:rPr>
          <w:color w:val="000000" w:themeColor="text1"/>
        </w:rPr>
      </w:pPr>
      <w:r w:rsidRPr="009B3784">
        <w:rPr>
          <w:color w:val="000000" w:themeColor="text1"/>
        </w:rPr>
        <w:t xml:space="preserve">OCHL will pursue former tenant arrears providing it is economical to do so until the </w:t>
      </w:r>
      <w:r>
        <w:rPr>
          <w:color w:val="000000" w:themeColor="text1"/>
        </w:rPr>
        <w:t xml:space="preserve">criteria and </w:t>
      </w:r>
      <w:r w:rsidRPr="009B3784">
        <w:rPr>
          <w:color w:val="000000" w:themeColor="text1"/>
        </w:rPr>
        <w:t>thresholds for write-off</w:t>
      </w:r>
      <w:r>
        <w:rPr>
          <w:color w:val="000000" w:themeColor="text1"/>
        </w:rPr>
        <w:t>s are met as set out in this policy</w:t>
      </w:r>
      <w:r w:rsidRPr="009B3784">
        <w:rPr>
          <w:color w:val="000000" w:themeColor="text1"/>
        </w:rPr>
        <w:t xml:space="preserve">. This may include the use of external enforcement agencies. </w:t>
      </w:r>
    </w:p>
    <w:p w:rsidR="002255FC" w:rsidRDefault="002255FC" w:rsidP="002255FC">
      <w:pPr>
        <w:autoSpaceDE w:val="0"/>
        <w:autoSpaceDN w:val="0"/>
        <w:adjustRightInd w:val="0"/>
        <w:rPr>
          <w:color w:val="000000" w:themeColor="text1"/>
        </w:rPr>
      </w:pPr>
    </w:p>
    <w:p w:rsidR="002255FC" w:rsidRPr="00086B01" w:rsidRDefault="002255FC" w:rsidP="002255FC">
      <w:pPr>
        <w:autoSpaceDE w:val="0"/>
        <w:autoSpaceDN w:val="0"/>
        <w:adjustRightInd w:val="0"/>
        <w:rPr>
          <w:b/>
          <w:color w:val="000000" w:themeColor="text1"/>
        </w:rPr>
      </w:pPr>
      <w:r>
        <w:rPr>
          <w:b/>
          <w:color w:val="000000" w:themeColor="text1"/>
        </w:rPr>
        <w:lastRenderedPageBreak/>
        <w:t>Former tenant write</w:t>
      </w:r>
      <w:r w:rsidRPr="00086B01">
        <w:rPr>
          <w:b/>
          <w:color w:val="000000" w:themeColor="text1"/>
        </w:rPr>
        <w:t xml:space="preserve">-off </w:t>
      </w:r>
      <w:r>
        <w:rPr>
          <w:b/>
          <w:color w:val="000000" w:themeColor="text1"/>
        </w:rPr>
        <w:t>criteria</w:t>
      </w:r>
    </w:p>
    <w:p w:rsidR="002255FC" w:rsidRPr="00086B01" w:rsidRDefault="002255FC" w:rsidP="002255FC">
      <w:pPr>
        <w:rPr>
          <w:b/>
          <w:bCs/>
          <w:color w:val="000000" w:themeColor="text1"/>
        </w:rPr>
      </w:pPr>
    </w:p>
    <w:p w:rsidR="002255FC" w:rsidRDefault="002255FC" w:rsidP="002255FC">
      <w:pPr>
        <w:autoSpaceDE w:val="0"/>
        <w:autoSpaceDN w:val="0"/>
        <w:adjustRightInd w:val="0"/>
        <w:rPr>
          <w:color w:val="000000" w:themeColor="text1"/>
        </w:rPr>
      </w:pPr>
      <w:r>
        <w:rPr>
          <w:color w:val="000000" w:themeColor="text1"/>
        </w:rPr>
        <w:t>Approval for former tenant write-offs will be automatically requested when any of the following criteria are met:</w:t>
      </w:r>
    </w:p>
    <w:p w:rsidR="002255FC" w:rsidRDefault="002255FC" w:rsidP="002255FC">
      <w:pPr>
        <w:autoSpaceDE w:val="0"/>
        <w:autoSpaceDN w:val="0"/>
        <w:adjustRightInd w:val="0"/>
        <w:rPr>
          <w:color w:val="000000" w:themeColor="text1"/>
        </w:rPr>
      </w:pPr>
    </w:p>
    <w:p w:rsidR="002255FC" w:rsidRDefault="002255FC" w:rsidP="002255FC">
      <w:pPr>
        <w:pStyle w:val="ListParagraph"/>
        <w:numPr>
          <w:ilvl w:val="0"/>
          <w:numId w:val="20"/>
        </w:numPr>
        <w:autoSpaceDE w:val="0"/>
        <w:autoSpaceDN w:val="0"/>
        <w:adjustRightInd w:val="0"/>
        <w:rPr>
          <w:color w:val="000000" w:themeColor="text1"/>
        </w:rPr>
      </w:pPr>
      <w:r>
        <w:rPr>
          <w:color w:val="000000" w:themeColor="text1"/>
        </w:rPr>
        <w:t>Where the debt is under £20</w:t>
      </w:r>
    </w:p>
    <w:p w:rsidR="002255FC" w:rsidRPr="00984FF8" w:rsidRDefault="002255FC" w:rsidP="002255FC">
      <w:pPr>
        <w:pStyle w:val="ListParagraph"/>
        <w:numPr>
          <w:ilvl w:val="0"/>
          <w:numId w:val="20"/>
        </w:numPr>
        <w:autoSpaceDE w:val="0"/>
        <w:autoSpaceDN w:val="0"/>
        <w:adjustRightInd w:val="0"/>
        <w:rPr>
          <w:color w:val="000000" w:themeColor="text1"/>
        </w:rPr>
      </w:pPr>
      <w:r w:rsidRPr="00984FF8">
        <w:rPr>
          <w:color w:val="000000" w:themeColor="text1"/>
        </w:rPr>
        <w:t>Where the total debt is under £50, where no payment has been received within six months of sending the final demand for payment.</w:t>
      </w:r>
    </w:p>
    <w:p w:rsidR="002255FC" w:rsidRPr="00984FF8" w:rsidRDefault="002255FC" w:rsidP="002255FC">
      <w:pPr>
        <w:pStyle w:val="ListParagraph"/>
        <w:numPr>
          <w:ilvl w:val="0"/>
          <w:numId w:val="20"/>
        </w:numPr>
        <w:autoSpaceDE w:val="0"/>
        <w:autoSpaceDN w:val="0"/>
        <w:adjustRightInd w:val="0"/>
        <w:rPr>
          <w:color w:val="000000" w:themeColor="text1"/>
        </w:rPr>
      </w:pPr>
      <w:r w:rsidRPr="00984FF8">
        <w:rPr>
          <w:color w:val="000000" w:themeColor="text1"/>
        </w:rPr>
        <w:t>Where an external enforcement agency advises they are unable to collect the debt and all options are exhausted.</w:t>
      </w:r>
    </w:p>
    <w:p w:rsidR="002255FC" w:rsidRPr="00984FF8" w:rsidRDefault="002255FC" w:rsidP="002255FC">
      <w:pPr>
        <w:pStyle w:val="ListParagraph"/>
        <w:numPr>
          <w:ilvl w:val="0"/>
          <w:numId w:val="20"/>
        </w:numPr>
        <w:autoSpaceDE w:val="0"/>
        <w:autoSpaceDN w:val="0"/>
        <w:adjustRightInd w:val="0"/>
        <w:rPr>
          <w:color w:val="000000" w:themeColor="text1"/>
        </w:rPr>
      </w:pPr>
      <w:r w:rsidRPr="00984FF8">
        <w:rPr>
          <w:color w:val="000000" w:themeColor="text1"/>
        </w:rPr>
        <w:t>Where the debtor has absconded and cannot be traced</w:t>
      </w:r>
    </w:p>
    <w:p w:rsidR="002255FC" w:rsidRPr="00984FF8" w:rsidRDefault="002255FC" w:rsidP="002255FC">
      <w:pPr>
        <w:pStyle w:val="ListParagraph"/>
        <w:numPr>
          <w:ilvl w:val="0"/>
          <w:numId w:val="20"/>
        </w:numPr>
        <w:autoSpaceDE w:val="0"/>
        <w:autoSpaceDN w:val="0"/>
        <w:adjustRightInd w:val="0"/>
        <w:rPr>
          <w:color w:val="000000" w:themeColor="text1"/>
        </w:rPr>
      </w:pPr>
      <w:r w:rsidRPr="00984FF8">
        <w:rPr>
          <w:color w:val="000000" w:themeColor="text1"/>
        </w:rPr>
        <w:t>Where the debtor has been made bankruptcy or is subject to a similar order</w:t>
      </w:r>
    </w:p>
    <w:p w:rsidR="002255FC" w:rsidRPr="00984FF8" w:rsidRDefault="002255FC" w:rsidP="002255FC">
      <w:pPr>
        <w:pStyle w:val="ListParagraph"/>
        <w:numPr>
          <w:ilvl w:val="0"/>
          <w:numId w:val="20"/>
        </w:numPr>
        <w:autoSpaceDE w:val="0"/>
        <w:autoSpaceDN w:val="0"/>
        <w:adjustRightInd w:val="0"/>
        <w:rPr>
          <w:color w:val="000000" w:themeColor="text1"/>
        </w:rPr>
      </w:pPr>
      <w:r w:rsidRPr="00984FF8">
        <w:rPr>
          <w:color w:val="000000" w:themeColor="text1"/>
        </w:rPr>
        <w:t>Where the debtor is deceased and there are insufficient funds in the Estate to clear the outstanding charge</w:t>
      </w:r>
    </w:p>
    <w:p w:rsidR="002255FC" w:rsidRDefault="002255FC" w:rsidP="002255FC">
      <w:pPr>
        <w:autoSpaceDE w:val="0"/>
        <w:autoSpaceDN w:val="0"/>
        <w:adjustRightInd w:val="0"/>
        <w:rPr>
          <w:color w:val="000000" w:themeColor="text1"/>
        </w:rPr>
      </w:pPr>
    </w:p>
    <w:p w:rsidR="002255FC" w:rsidRDefault="002255FC">
      <w:pPr>
        <w:rPr>
          <w:color w:val="000000" w:themeColor="text1"/>
        </w:rPr>
      </w:pPr>
      <w:r>
        <w:rPr>
          <w:color w:val="000000" w:themeColor="text1"/>
        </w:rPr>
        <w:br w:type="page"/>
      </w:r>
    </w:p>
    <w:p w:rsidR="002255FC" w:rsidRPr="00984FF8" w:rsidRDefault="002255FC" w:rsidP="002255FC">
      <w:pPr>
        <w:autoSpaceDE w:val="0"/>
        <w:autoSpaceDN w:val="0"/>
        <w:adjustRightInd w:val="0"/>
        <w:rPr>
          <w:color w:val="000000" w:themeColor="text1"/>
        </w:rPr>
      </w:pPr>
      <w:r>
        <w:rPr>
          <w:color w:val="000000" w:themeColor="text1"/>
        </w:rPr>
        <w:lastRenderedPageBreak/>
        <w:t>For arrears over £50, i</w:t>
      </w:r>
      <w:r w:rsidRPr="00984FF8">
        <w:rPr>
          <w:color w:val="000000" w:themeColor="text1"/>
        </w:rPr>
        <w:t>n order to identify which debts should be written off, OCHL has a schedule which refers to the amount of the debt, the age of the debt, action taken to recover the debt and the seniority of the person/body authorised to write-off the debt.</w:t>
      </w:r>
      <w:r>
        <w:rPr>
          <w:color w:val="000000" w:themeColor="text1"/>
        </w:rPr>
        <w:t xml:space="preserve"> The schedule is:</w:t>
      </w:r>
    </w:p>
    <w:p w:rsidR="002255FC" w:rsidRPr="009B3784" w:rsidRDefault="002255FC" w:rsidP="002255FC">
      <w:pPr>
        <w:autoSpaceDE w:val="0"/>
        <w:autoSpaceDN w:val="0"/>
        <w:adjustRightInd w:val="0"/>
        <w:rPr>
          <w:color w:val="000000" w:themeColor="text1"/>
        </w:rPr>
      </w:pPr>
    </w:p>
    <w:tbl>
      <w:tblPr>
        <w:tblStyle w:val="TableGrid"/>
        <w:tblW w:w="0" w:type="auto"/>
        <w:tblLook w:val="04A0" w:firstRow="1" w:lastRow="0" w:firstColumn="1" w:lastColumn="0" w:noHBand="0" w:noVBand="1"/>
      </w:tblPr>
      <w:tblGrid>
        <w:gridCol w:w="1831"/>
        <w:gridCol w:w="2084"/>
        <w:gridCol w:w="3016"/>
        <w:gridCol w:w="2311"/>
      </w:tblGrid>
      <w:tr w:rsidR="002255FC" w:rsidRPr="009B3784" w:rsidTr="00AE2369">
        <w:tc>
          <w:tcPr>
            <w:tcW w:w="1831" w:type="dxa"/>
          </w:tcPr>
          <w:p w:rsidR="002255FC" w:rsidRPr="009B3784" w:rsidRDefault="002255FC" w:rsidP="00AE2369">
            <w:pPr>
              <w:autoSpaceDE w:val="0"/>
              <w:autoSpaceDN w:val="0"/>
              <w:adjustRightInd w:val="0"/>
              <w:rPr>
                <w:b/>
                <w:bCs/>
                <w:color w:val="000000" w:themeColor="text1"/>
              </w:rPr>
            </w:pPr>
            <w:r w:rsidRPr="009B3784">
              <w:rPr>
                <w:b/>
                <w:bCs/>
                <w:color w:val="000000" w:themeColor="text1"/>
              </w:rPr>
              <w:t>Amount</w:t>
            </w:r>
          </w:p>
        </w:tc>
        <w:tc>
          <w:tcPr>
            <w:tcW w:w="2084" w:type="dxa"/>
          </w:tcPr>
          <w:p w:rsidR="002255FC" w:rsidRPr="009B3784" w:rsidRDefault="002255FC" w:rsidP="00AE2369">
            <w:pPr>
              <w:autoSpaceDE w:val="0"/>
              <w:autoSpaceDN w:val="0"/>
              <w:adjustRightInd w:val="0"/>
              <w:rPr>
                <w:b/>
                <w:bCs/>
                <w:color w:val="000000" w:themeColor="text1"/>
              </w:rPr>
            </w:pPr>
            <w:r w:rsidRPr="009B3784">
              <w:rPr>
                <w:b/>
                <w:bCs/>
                <w:color w:val="000000" w:themeColor="text1"/>
              </w:rPr>
              <w:t>Age of Debt</w:t>
            </w:r>
          </w:p>
        </w:tc>
        <w:tc>
          <w:tcPr>
            <w:tcW w:w="3016" w:type="dxa"/>
          </w:tcPr>
          <w:p w:rsidR="002255FC" w:rsidRPr="009B3784" w:rsidRDefault="002255FC" w:rsidP="00AE2369">
            <w:pPr>
              <w:autoSpaceDE w:val="0"/>
              <w:autoSpaceDN w:val="0"/>
              <w:adjustRightInd w:val="0"/>
              <w:rPr>
                <w:b/>
                <w:bCs/>
                <w:color w:val="000000" w:themeColor="text1"/>
              </w:rPr>
            </w:pPr>
            <w:r w:rsidRPr="009B3784">
              <w:rPr>
                <w:b/>
                <w:bCs/>
                <w:color w:val="000000" w:themeColor="text1"/>
              </w:rPr>
              <w:t>Action taken</w:t>
            </w:r>
          </w:p>
        </w:tc>
        <w:tc>
          <w:tcPr>
            <w:tcW w:w="2311" w:type="dxa"/>
          </w:tcPr>
          <w:p w:rsidR="002255FC" w:rsidRPr="009B3784" w:rsidRDefault="002255FC" w:rsidP="00AE2369">
            <w:pPr>
              <w:autoSpaceDE w:val="0"/>
              <w:autoSpaceDN w:val="0"/>
              <w:adjustRightInd w:val="0"/>
              <w:rPr>
                <w:b/>
                <w:bCs/>
                <w:color w:val="000000" w:themeColor="text1"/>
              </w:rPr>
            </w:pPr>
            <w:r w:rsidRPr="009B3784">
              <w:rPr>
                <w:b/>
                <w:bCs/>
                <w:color w:val="000000" w:themeColor="text1"/>
              </w:rPr>
              <w:t>Write-off approval</w:t>
            </w:r>
          </w:p>
        </w:tc>
      </w:tr>
      <w:tr w:rsidR="002255FC" w:rsidRPr="009B3784" w:rsidTr="00AE2369">
        <w:tc>
          <w:tcPr>
            <w:tcW w:w="1831" w:type="dxa"/>
          </w:tcPr>
          <w:p w:rsidR="002255FC" w:rsidRPr="002C5F88" w:rsidRDefault="002255FC" w:rsidP="00AE2369">
            <w:pPr>
              <w:autoSpaceDE w:val="0"/>
              <w:autoSpaceDN w:val="0"/>
              <w:adjustRightInd w:val="0"/>
              <w:rPr>
                <w:bCs/>
                <w:color w:val="000000" w:themeColor="text1"/>
              </w:rPr>
            </w:pPr>
            <w:r w:rsidRPr="002C5F88">
              <w:rPr>
                <w:bCs/>
                <w:color w:val="000000" w:themeColor="text1"/>
              </w:rPr>
              <w:t>£50 - £100</w:t>
            </w:r>
          </w:p>
          <w:p w:rsidR="002255FC" w:rsidRPr="002C5F88" w:rsidRDefault="002255FC" w:rsidP="00AE2369">
            <w:pPr>
              <w:autoSpaceDE w:val="0"/>
              <w:autoSpaceDN w:val="0"/>
              <w:adjustRightInd w:val="0"/>
              <w:jc w:val="right"/>
              <w:rPr>
                <w:bCs/>
                <w:color w:val="000000" w:themeColor="text1"/>
              </w:rPr>
            </w:pPr>
          </w:p>
        </w:tc>
        <w:tc>
          <w:tcPr>
            <w:tcW w:w="2084" w:type="dxa"/>
          </w:tcPr>
          <w:p w:rsidR="002255FC" w:rsidRPr="002C5F88" w:rsidRDefault="002255FC" w:rsidP="00AE2369">
            <w:pPr>
              <w:autoSpaceDE w:val="0"/>
              <w:autoSpaceDN w:val="0"/>
              <w:adjustRightInd w:val="0"/>
              <w:rPr>
                <w:bCs/>
                <w:color w:val="000000" w:themeColor="text1"/>
              </w:rPr>
            </w:pPr>
            <w:r w:rsidRPr="002C5F88">
              <w:rPr>
                <w:bCs/>
                <w:color w:val="000000" w:themeColor="text1"/>
              </w:rPr>
              <w:t>Over 6 months</w:t>
            </w:r>
          </w:p>
        </w:tc>
        <w:tc>
          <w:tcPr>
            <w:tcW w:w="3016" w:type="dxa"/>
          </w:tcPr>
          <w:p w:rsidR="002255FC" w:rsidRPr="002C5F88" w:rsidRDefault="002255FC" w:rsidP="00AE2369">
            <w:pPr>
              <w:autoSpaceDE w:val="0"/>
              <w:autoSpaceDN w:val="0"/>
              <w:adjustRightInd w:val="0"/>
              <w:rPr>
                <w:bCs/>
                <w:color w:val="000000" w:themeColor="text1"/>
              </w:rPr>
            </w:pPr>
            <w:r w:rsidRPr="002C5F88">
              <w:rPr>
                <w:bCs/>
                <w:color w:val="000000" w:themeColor="text1"/>
              </w:rPr>
              <w:t>Three letters requesting payment therefore uneconomical to pursue</w:t>
            </w:r>
          </w:p>
          <w:p w:rsidR="002255FC" w:rsidRPr="002C5F88" w:rsidRDefault="002255FC" w:rsidP="00AE2369">
            <w:pPr>
              <w:autoSpaceDE w:val="0"/>
              <w:autoSpaceDN w:val="0"/>
              <w:adjustRightInd w:val="0"/>
              <w:rPr>
                <w:bCs/>
                <w:color w:val="000000" w:themeColor="text1"/>
              </w:rPr>
            </w:pPr>
          </w:p>
        </w:tc>
        <w:tc>
          <w:tcPr>
            <w:tcW w:w="2311" w:type="dxa"/>
          </w:tcPr>
          <w:p w:rsidR="002255FC" w:rsidRPr="002C5F88" w:rsidRDefault="002255FC" w:rsidP="00AE2369">
            <w:pPr>
              <w:autoSpaceDE w:val="0"/>
              <w:autoSpaceDN w:val="0"/>
              <w:adjustRightInd w:val="0"/>
              <w:rPr>
                <w:bCs/>
                <w:color w:val="000000" w:themeColor="text1"/>
              </w:rPr>
            </w:pPr>
            <w:r w:rsidRPr="002C5F88">
              <w:rPr>
                <w:bCs/>
                <w:color w:val="000000" w:themeColor="text1"/>
              </w:rPr>
              <w:t>Income Team Leader</w:t>
            </w:r>
          </w:p>
        </w:tc>
      </w:tr>
      <w:tr w:rsidR="002255FC" w:rsidRPr="009B3784" w:rsidTr="00AE2369">
        <w:tc>
          <w:tcPr>
            <w:tcW w:w="1831" w:type="dxa"/>
          </w:tcPr>
          <w:p w:rsidR="002255FC" w:rsidRPr="002C5F88" w:rsidRDefault="002255FC" w:rsidP="00AE2369">
            <w:pPr>
              <w:autoSpaceDE w:val="0"/>
              <w:autoSpaceDN w:val="0"/>
              <w:adjustRightInd w:val="0"/>
              <w:rPr>
                <w:bCs/>
                <w:color w:val="000000" w:themeColor="text1"/>
              </w:rPr>
            </w:pPr>
            <w:r w:rsidRPr="002C5F88">
              <w:rPr>
                <w:bCs/>
                <w:color w:val="000000" w:themeColor="text1"/>
              </w:rPr>
              <w:t>£100 - £500</w:t>
            </w:r>
          </w:p>
        </w:tc>
        <w:tc>
          <w:tcPr>
            <w:tcW w:w="2084" w:type="dxa"/>
          </w:tcPr>
          <w:p w:rsidR="002255FC" w:rsidRPr="002C5F88" w:rsidRDefault="002255FC" w:rsidP="00AE2369">
            <w:pPr>
              <w:autoSpaceDE w:val="0"/>
              <w:autoSpaceDN w:val="0"/>
              <w:adjustRightInd w:val="0"/>
              <w:rPr>
                <w:bCs/>
                <w:color w:val="000000" w:themeColor="text1"/>
              </w:rPr>
            </w:pPr>
            <w:r w:rsidRPr="002C5F88">
              <w:rPr>
                <w:bCs/>
                <w:color w:val="000000" w:themeColor="text1"/>
              </w:rPr>
              <w:t>Over 6 months</w:t>
            </w:r>
          </w:p>
        </w:tc>
        <w:tc>
          <w:tcPr>
            <w:tcW w:w="3016" w:type="dxa"/>
          </w:tcPr>
          <w:p w:rsidR="002255FC" w:rsidRPr="002C5F88" w:rsidRDefault="002255FC" w:rsidP="00AE2369">
            <w:pPr>
              <w:autoSpaceDE w:val="0"/>
              <w:autoSpaceDN w:val="0"/>
              <w:adjustRightInd w:val="0"/>
              <w:rPr>
                <w:bCs/>
                <w:color w:val="000000" w:themeColor="text1"/>
              </w:rPr>
            </w:pPr>
            <w:r w:rsidRPr="002C5F88">
              <w:rPr>
                <w:bCs/>
                <w:color w:val="000000" w:themeColor="text1"/>
              </w:rPr>
              <w:t>Three letters requesting payment and returned from External Enforcement Agency therefore uneconomical to pursue</w:t>
            </w:r>
          </w:p>
        </w:tc>
        <w:tc>
          <w:tcPr>
            <w:tcW w:w="2311" w:type="dxa"/>
          </w:tcPr>
          <w:p w:rsidR="002255FC" w:rsidRPr="002C5F88" w:rsidRDefault="002255FC" w:rsidP="00AE2369">
            <w:pPr>
              <w:autoSpaceDE w:val="0"/>
              <w:autoSpaceDN w:val="0"/>
              <w:adjustRightInd w:val="0"/>
              <w:rPr>
                <w:bCs/>
                <w:color w:val="000000" w:themeColor="text1"/>
              </w:rPr>
            </w:pPr>
            <w:r w:rsidRPr="002C5F88">
              <w:rPr>
                <w:bCs/>
                <w:color w:val="000000" w:themeColor="text1"/>
              </w:rPr>
              <w:t>Income Manager/Service Manager Revenues and Benefits</w:t>
            </w:r>
          </w:p>
        </w:tc>
      </w:tr>
      <w:tr w:rsidR="002255FC" w:rsidRPr="009B3784" w:rsidTr="00AE2369">
        <w:tc>
          <w:tcPr>
            <w:tcW w:w="1831" w:type="dxa"/>
          </w:tcPr>
          <w:p w:rsidR="002255FC" w:rsidRPr="002C5F88" w:rsidRDefault="002255FC" w:rsidP="00AE2369">
            <w:pPr>
              <w:autoSpaceDE w:val="0"/>
              <w:autoSpaceDN w:val="0"/>
              <w:adjustRightInd w:val="0"/>
              <w:rPr>
                <w:bCs/>
                <w:color w:val="000000" w:themeColor="text1"/>
              </w:rPr>
            </w:pPr>
            <w:r w:rsidRPr="002C5F88">
              <w:rPr>
                <w:bCs/>
                <w:color w:val="000000" w:themeColor="text1"/>
              </w:rPr>
              <w:t>£500 - £1,500</w:t>
            </w:r>
          </w:p>
        </w:tc>
        <w:tc>
          <w:tcPr>
            <w:tcW w:w="2084" w:type="dxa"/>
          </w:tcPr>
          <w:p w:rsidR="002255FC" w:rsidRPr="002C5F88" w:rsidRDefault="002255FC" w:rsidP="00AE2369">
            <w:pPr>
              <w:autoSpaceDE w:val="0"/>
              <w:autoSpaceDN w:val="0"/>
              <w:adjustRightInd w:val="0"/>
              <w:rPr>
                <w:bCs/>
                <w:color w:val="000000" w:themeColor="text1"/>
              </w:rPr>
            </w:pPr>
            <w:r w:rsidRPr="002C5F88">
              <w:rPr>
                <w:bCs/>
                <w:color w:val="000000" w:themeColor="text1"/>
              </w:rPr>
              <w:t>Over 6 months</w:t>
            </w:r>
          </w:p>
        </w:tc>
        <w:tc>
          <w:tcPr>
            <w:tcW w:w="3016" w:type="dxa"/>
          </w:tcPr>
          <w:p w:rsidR="002255FC" w:rsidRPr="002C5F88" w:rsidRDefault="002255FC" w:rsidP="00AE2369">
            <w:pPr>
              <w:autoSpaceDE w:val="0"/>
              <w:autoSpaceDN w:val="0"/>
              <w:adjustRightInd w:val="0"/>
              <w:rPr>
                <w:bCs/>
                <w:color w:val="000000" w:themeColor="text1"/>
              </w:rPr>
            </w:pPr>
            <w:r w:rsidRPr="002C5F88">
              <w:rPr>
                <w:bCs/>
                <w:color w:val="000000" w:themeColor="text1"/>
              </w:rPr>
              <w:t>Three letters requesting payment and returned from External Enforcement Agency therefore uneconomical to pursue</w:t>
            </w:r>
          </w:p>
        </w:tc>
        <w:tc>
          <w:tcPr>
            <w:tcW w:w="2311" w:type="dxa"/>
          </w:tcPr>
          <w:p w:rsidR="002255FC" w:rsidRPr="002C5F88" w:rsidRDefault="002255FC" w:rsidP="00AE2369">
            <w:pPr>
              <w:autoSpaceDE w:val="0"/>
              <w:autoSpaceDN w:val="0"/>
              <w:adjustRightInd w:val="0"/>
              <w:rPr>
                <w:bCs/>
                <w:color w:val="000000" w:themeColor="text1"/>
              </w:rPr>
            </w:pPr>
            <w:r w:rsidRPr="002C5F88">
              <w:rPr>
                <w:bCs/>
                <w:color w:val="000000" w:themeColor="text1"/>
              </w:rPr>
              <w:t>Head of Finance</w:t>
            </w:r>
          </w:p>
        </w:tc>
      </w:tr>
      <w:tr w:rsidR="002255FC" w:rsidRPr="009B3784" w:rsidTr="00AE2369">
        <w:tc>
          <w:tcPr>
            <w:tcW w:w="1831" w:type="dxa"/>
          </w:tcPr>
          <w:p w:rsidR="002255FC" w:rsidRPr="002C5F88" w:rsidRDefault="002255FC" w:rsidP="00AE2369">
            <w:pPr>
              <w:autoSpaceDE w:val="0"/>
              <w:autoSpaceDN w:val="0"/>
              <w:adjustRightInd w:val="0"/>
              <w:rPr>
                <w:bCs/>
                <w:color w:val="000000" w:themeColor="text1"/>
              </w:rPr>
            </w:pPr>
            <w:r w:rsidRPr="002C5F88">
              <w:rPr>
                <w:bCs/>
                <w:color w:val="000000" w:themeColor="text1"/>
              </w:rPr>
              <w:t>Over £1,500</w:t>
            </w:r>
          </w:p>
        </w:tc>
        <w:tc>
          <w:tcPr>
            <w:tcW w:w="2084" w:type="dxa"/>
          </w:tcPr>
          <w:p w:rsidR="002255FC" w:rsidRPr="002C5F88" w:rsidRDefault="002255FC" w:rsidP="00AE2369">
            <w:pPr>
              <w:autoSpaceDE w:val="0"/>
              <w:autoSpaceDN w:val="0"/>
              <w:adjustRightInd w:val="0"/>
              <w:rPr>
                <w:bCs/>
                <w:color w:val="000000" w:themeColor="text1"/>
              </w:rPr>
            </w:pPr>
            <w:r w:rsidRPr="002C5F88">
              <w:rPr>
                <w:bCs/>
                <w:color w:val="000000" w:themeColor="text1"/>
              </w:rPr>
              <w:t>Over a year old</w:t>
            </w:r>
          </w:p>
        </w:tc>
        <w:tc>
          <w:tcPr>
            <w:tcW w:w="3016" w:type="dxa"/>
          </w:tcPr>
          <w:p w:rsidR="002255FC" w:rsidRPr="002C5F88" w:rsidRDefault="002255FC" w:rsidP="00AE2369">
            <w:pPr>
              <w:autoSpaceDE w:val="0"/>
              <w:autoSpaceDN w:val="0"/>
              <w:adjustRightInd w:val="0"/>
              <w:rPr>
                <w:bCs/>
                <w:color w:val="000000" w:themeColor="text1"/>
              </w:rPr>
            </w:pPr>
            <w:r w:rsidRPr="002C5F88">
              <w:rPr>
                <w:bCs/>
                <w:color w:val="000000" w:themeColor="text1"/>
              </w:rPr>
              <w:t>Three letters requesting payment and returned from External Enforcement Agency therefore uneconomical to pursue</w:t>
            </w:r>
          </w:p>
        </w:tc>
        <w:tc>
          <w:tcPr>
            <w:tcW w:w="2311" w:type="dxa"/>
          </w:tcPr>
          <w:p w:rsidR="002255FC" w:rsidRPr="002C5F88" w:rsidRDefault="002255FC" w:rsidP="00AE2369">
            <w:pPr>
              <w:autoSpaceDE w:val="0"/>
              <w:autoSpaceDN w:val="0"/>
              <w:adjustRightInd w:val="0"/>
              <w:rPr>
                <w:bCs/>
                <w:color w:val="000000" w:themeColor="text1"/>
              </w:rPr>
            </w:pPr>
            <w:r w:rsidRPr="002C5F88">
              <w:rPr>
                <w:bCs/>
                <w:color w:val="000000" w:themeColor="text1"/>
              </w:rPr>
              <w:t>OCHL Board</w:t>
            </w:r>
          </w:p>
        </w:tc>
      </w:tr>
    </w:tbl>
    <w:p w:rsidR="002255FC" w:rsidRPr="00053D1C" w:rsidRDefault="002255FC" w:rsidP="002255FC">
      <w:pPr>
        <w:rPr>
          <w:color w:val="000000" w:themeColor="text1"/>
        </w:rPr>
      </w:pPr>
    </w:p>
    <w:p w:rsidR="00FD0F9A" w:rsidRPr="00053D1C" w:rsidRDefault="00FD0F9A" w:rsidP="00FD0F9A">
      <w:pPr>
        <w:pStyle w:val="Default"/>
        <w:rPr>
          <w:bCs/>
          <w:color w:val="000000" w:themeColor="text1"/>
        </w:rPr>
      </w:pPr>
    </w:p>
    <w:p w:rsidR="008F041A" w:rsidRPr="00053D1C" w:rsidRDefault="008C0226" w:rsidP="00DC69EF">
      <w:pPr>
        <w:rPr>
          <w:b/>
          <w:bCs/>
          <w:color w:val="000000" w:themeColor="text1"/>
        </w:rPr>
      </w:pPr>
      <w:r w:rsidRPr="00053D1C">
        <w:rPr>
          <w:b/>
          <w:bCs/>
          <w:color w:val="000000" w:themeColor="text1"/>
        </w:rPr>
        <w:t xml:space="preserve">Monitoring </w:t>
      </w:r>
    </w:p>
    <w:p w:rsidR="008C0226" w:rsidRPr="00053D1C" w:rsidRDefault="008C0226" w:rsidP="008F041A">
      <w:pPr>
        <w:pStyle w:val="Default"/>
        <w:rPr>
          <w:color w:val="000000" w:themeColor="text1"/>
        </w:rPr>
      </w:pPr>
    </w:p>
    <w:p w:rsidR="001821BE" w:rsidRDefault="001821BE" w:rsidP="001821BE">
      <w:r w:rsidRPr="006B168B">
        <w:t>This policy will be monitored through the</w:t>
      </w:r>
      <w:r>
        <w:t xml:space="preserve"> regular</w:t>
      </w:r>
      <w:r w:rsidRPr="006B168B">
        <w:t xml:space="preserve"> policy review programme</w:t>
      </w:r>
      <w:r>
        <w:t>.</w:t>
      </w:r>
    </w:p>
    <w:sectPr w:rsidR="001821BE">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51" w:rsidRDefault="00190451" w:rsidP="00081139">
      <w:r>
        <w:separator/>
      </w:r>
    </w:p>
  </w:endnote>
  <w:endnote w:type="continuationSeparator" w:id="0">
    <w:p w:rsidR="00190451" w:rsidRDefault="00190451" w:rsidP="0008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441592"/>
      <w:docPartObj>
        <w:docPartGallery w:val="Page Numbers (Bottom of Page)"/>
        <w:docPartUnique/>
      </w:docPartObj>
    </w:sdtPr>
    <w:sdtEndPr/>
    <w:sdtContent>
      <w:sdt>
        <w:sdtPr>
          <w:id w:val="860082579"/>
          <w:docPartObj>
            <w:docPartGallery w:val="Page Numbers (Top of Page)"/>
            <w:docPartUnique/>
          </w:docPartObj>
        </w:sdtPr>
        <w:sdtEndPr/>
        <w:sdtContent>
          <w:p w:rsidR="00081139" w:rsidRDefault="00081139">
            <w:pPr>
              <w:pStyle w:val="Footer"/>
              <w:jc w:val="right"/>
            </w:pPr>
            <w:r>
              <w:t xml:space="preserve">Page </w:t>
            </w:r>
            <w:r>
              <w:rPr>
                <w:b/>
                <w:bCs/>
              </w:rPr>
              <w:fldChar w:fldCharType="begin"/>
            </w:r>
            <w:r>
              <w:rPr>
                <w:b/>
                <w:bCs/>
              </w:rPr>
              <w:instrText xml:space="preserve"> PAGE </w:instrText>
            </w:r>
            <w:r>
              <w:rPr>
                <w:b/>
                <w:bCs/>
              </w:rPr>
              <w:fldChar w:fldCharType="separate"/>
            </w:r>
            <w:r w:rsidR="003B4510">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3B4510">
              <w:rPr>
                <w:b/>
                <w:bCs/>
                <w:noProof/>
              </w:rPr>
              <w:t>5</w:t>
            </w:r>
            <w:r>
              <w:rPr>
                <w:b/>
                <w:bCs/>
              </w:rPr>
              <w:fldChar w:fldCharType="end"/>
            </w:r>
          </w:p>
        </w:sdtContent>
      </w:sdt>
    </w:sdtContent>
  </w:sdt>
  <w:p w:rsidR="00081139" w:rsidRDefault="00081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51" w:rsidRDefault="00190451" w:rsidP="00081139">
      <w:r>
        <w:separator/>
      </w:r>
    </w:p>
  </w:footnote>
  <w:footnote w:type="continuationSeparator" w:id="0">
    <w:p w:rsidR="00190451" w:rsidRDefault="00190451" w:rsidP="00081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42" w:rsidRDefault="00984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39" w:rsidRPr="008C0226" w:rsidRDefault="00081139" w:rsidP="00081139">
    <w:pPr>
      <w:pStyle w:val="Default"/>
    </w:pPr>
  </w:p>
  <w:p w:rsidR="00081139" w:rsidRPr="0038198E" w:rsidRDefault="00E27FFB" w:rsidP="00E27FFB">
    <w:pPr>
      <w:tabs>
        <w:tab w:val="left" w:pos="7200"/>
        <w:tab w:val="right" w:pos="9026"/>
      </w:tabs>
      <w:rPr>
        <w:rFonts w:ascii="Microsoft Sans Serif" w:eastAsia="Gulim" w:hAnsi="Microsoft Sans Serif" w:cs="Microsoft Sans Serif"/>
        <w:b/>
        <w:color w:val="0000FF"/>
        <w:sz w:val="56"/>
        <w:szCs w:val="56"/>
      </w:rPr>
    </w:pPr>
    <w:r>
      <w:rPr>
        <w:rFonts w:ascii="Microsoft Sans Serif" w:eastAsia="Gulim" w:hAnsi="Microsoft Sans Serif" w:cs="Microsoft Sans Serif"/>
        <w:b/>
        <w:color w:val="0000FF"/>
        <w:sz w:val="56"/>
        <w:szCs w:val="56"/>
      </w:rPr>
      <w:tab/>
    </w:r>
    <w:r>
      <w:rPr>
        <w:rFonts w:ascii="Microsoft Sans Serif" w:eastAsia="Gulim" w:hAnsi="Microsoft Sans Serif" w:cs="Microsoft Sans Serif"/>
        <w:b/>
        <w:color w:val="0000FF"/>
        <w:sz w:val="56"/>
        <w:szCs w:val="56"/>
      </w:rPr>
      <w:tab/>
    </w:r>
    <w:r w:rsidR="00081139" w:rsidRPr="0038198E">
      <w:rPr>
        <w:rFonts w:ascii="Microsoft Sans Serif" w:eastAsia="Gulim" w:hAnsi="Microsoft Sans Serif" w:cs="Microsoft Sans Serif"/>
        <w:b/>
        <w:color w:val="0000FF"/>
        <w:sz w:val="56"/>
        <w:szCs w:val="56"/>
      </w:rPr>
      <w:t>OCHL</w:t>
    </w:r>
  </w:p>
  <w:p w:rsidR="00081139" w:rsidRPr="0038198E" w:rsidRDefault="00081139" w:rsidP="00081139">
    <w:pPr>
      <w:jc w:val="right"/>
      <w:rPr>
        <w:rFonts w:ascii="Gulim" w:eastAsia="Gulim" w:hAnsi="Gulim" w:cs="Tahoma"/>
        <w:b/>
        <w:color w:val="0000FF"/>
        <w:sz w:val="20"/>
        <w:szCs w:val="20"/>
      </w:rPr>
    </w:pPr>
    <w:r>
      <w:rPr>
        <w:noProof/>
        <w:lang w:eastAsia="en-GB"/>
      </w:rPr>
      <mc:AlternateContent>
        <mc:Choice Requires="wps">
          <w:drawing>
            <wp:anchor distT="4294967295" distB="4294967295" distL="114300" distR="114300" simplePos="0" relativeHeight="251659264" behindDoc="0" locked="0" layoutInCell="1" allowOverlap="1" wp14:anchorId="1310EB26" wp14:editId="0B19D66B">
              <wp:simplePos x="0" y="0"/>
              <wp:positionH relativeFrom="column">
                <wp:posOffset>4319270</wp:posOffset>
              </wp:positionH>
              <wp:positionV relativeFrom="paragraph">
                <wp:posOffset>50164</wp:posOffset>
              </wp:positionV>
              <wp:extent cx="160083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835" cy="0"/>
                      </a:xfrm>
                      <a:prstGeom prst="line">
                        <a:avLst/>
                      </a:prstGeom>
                      <a:noFill/>
                      <a:ln w="19050" cap="flat" cmpd="sng" algn="ctr">
                        <a:solidFill>
                          <a:srgbClr val="0000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0.1pt,3.95pt" to="46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" strokecolor="blue" strokeweight="1.5pt">
              <o:lock v:ext="edit" shapetype="f"/>
            </v:line>
          </w:pict>
        </mc:Fallback>
      </mc:AlternateContent>
    </w:r>
  </w:p>
  <w:p w:rsidR="00081139" w:rsidRPr="0038198E" w:rsidRDefault="00081139" w:rsidP="00081139">
    <w:pPr>
      <w:jc w:val="right"/>
      <w:rPr>
        <w:rFonts w:ascii="Microsoft Sans Serif" w:eastAsia="Gulim" w:hAnsi="Microsoft Sans Serif" w:cs="Microsoft Sans Serif"/>
        <w:color w:val="0000FF"/>
        <w:sz w:val="20"/>
        <w:szCs w:val="20"/>
      </w:rPr>
    </w:pPr>
    <w:r w:rsidRPr="0038198E">
      <w:rPr>
        <w:rFonts w:ascii="Microsoft Sans Serif" w:eastAsia="Gulim" w:hAnsi="Microsoft Sans Serif" w:cs="Microsoft Sans Serif"/>
        <w:color w:val="0000FF"/>
        <w:sz w:val="20"/>
        <w:szCs w:val="20"/>
      </w:rPr>
      <w:t xml:space="preserve">Oxford City Housing </w:t>
    </w:r>
    <w:r w:rsidR="00DE1871">
      <w:rPr>
        <w:rFonts w:ascii="Microsoft Sans Serif" w:eastAsia="Gulim" w:hAnsi="Microsoft Sans Serif" w:cs="Microsoft Sans Serif"/>
        <w:color w:val="0000FF"/>
        <w:sz w:val="20"/>
        <w:szCs w:val="20"/>
      </w:rPr>
      <w:t xml:space="preserve">(Investment) </w:t>
    </w:r>
    <w:r w:rsidRPr="0038198E">
      <w:rPr>
        <w:rFonts w:ascii="Microsoft Sans Serif" w:eastAsia="Gulim" w:hAnsi="Microsoft Sans Serif" w:cs="Microsoft Sans Serif"/>
        <w:color w:val="0000FF"/>
        <w:sz w:val="20"/>
        <w:szCs w:val="20"/>
      </w:rPr>
      <w:t>Limited</w:t>
    </w:r>
  </w:p>
  <w:p w:rsidR="00081139" w:rsidRDefault="000811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42" w:rsidRDefault="00984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DF"/>
    <w:multiLevelType w:val="hybridMultilevel"/>
    <w:tmpl w:val="E780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160C46"/>
    <w:multiLevelType w:val="hybridMultilevel"/>
    <w:tmpl w:val="278205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B24AFE"/>
    <w:multiLevelType w:val="hybridMultilevel"/>
    <w:tmpl w:val="ACC0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121CB"/>
    <w:multiLevelType w:val="hybridMultilevel"/>
    <w:tmpl w:val="3030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92151"/>
    <w:multiLevelType w:val="hybridMultilevel"/>
    <w:tmpl w:val="CCEA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525631"/>
    <w:multiLevelType w:val="hybridMultilevel"/>
    <w:tmpl w:val="C84C9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AC429E"/>
    <w:multiLevelType w:val="hybridMultilevel"/>
    <w:tmpl w:val="AB72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1F33A3"/>
    <w:multiLevelType w:val="hybridMultilevel"/>
    <w:tmpl w:val="A7CA5F30"/>
    <w:lvl w:ilvl="0" w:tplc="BFCC97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3D20B1"/>
    <w:multiLevelType w:val="hybridMultilevel"/>
    <w:tmpl w:val="AC42F1BA"/>
    <w:lvl w:ilvl="0" w:tplc="0809000F">
      <w:start w:val="6"/>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C611F6"/>
    <w:multiLevelType w:val="hybridMultilevel"/>
    <w:tmpl w:val="7D5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9800D7"/>
    <w:multiLevelType w:val="hybridMultilevel"/>
    <w:tmpl w:val="121E552C"/>
    <w:lvl w:ilvl="0" w:tplc="85929A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9B4603"/>
    <w:multiLevelType w:val="multilevel"/>
    <w:tmpl w:val="3970F79A"/>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53790708"/>
    <w:multiLevelType w:val="hybridMultilevel"/>
    <w:tmpl w:val="AC42F1BA"/>
    <w:lvl w:ilvl="0" w:tplc="0809000F">
      <w:start w:val="6"/>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DA1412"/>
    <w:multiLevelType w:val="hybridMultilevel"/>
    <w:tmpl w:val="5B7620A0"/>
    <w:lvl w:ilvl="0" w:tplc="08090001">
      <w:start w:val="1"/>
      <w:numFmt w:val="bullet"/>
      <w:lvlText w:val=""/>
      <w:lvlJc w:val="left"/>
      <w:pPr>
        <w:tabs>
          <w:tab w:val="num" w:pos="1191"/>
        </w:tabs>
        <w:ind w:left="1134" w:hanging="567"/>
      </w:pPr>
      <w:rPr>
        <w:rFonts w:ascii="Symbol" w:hAnsi="Symbol" w:hint="default"/>
        <w:color w:val="auto"/>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61356CC4"/>
    <w:multiLevelType w:val="hybridMultilevel"/>
    <w:tmpl w:val="D36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000DF8"/>
    <w:multiLevelType w:val="hybridMultilevel"/>
    <w:tmpl w:val="14A8B3C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6">
    <w:nsid w:val="76E91075"/>
    <w:multiLevelType w:val="hybridMultilevel"/>
    <w:tmpl w:val="0F3E1C48"/>
    <w:lvl w:ilvl="0" w:tplc="2A4883F2">
      <w:numFmt w:val="bullet"/>
      <w:lvlText w:val=""/>
      <w:lvlJc w:val="left"/>
      <w:pPr>
        <w:tabs>
          <w:tab w:val="num" w:pos="1191"/>
        </w:tabs>
        <w:ind w:left="1134" w:hanging="567"/>
      </w:pPr>
      <w:rPr>
        <w:rFonts w:ascii="Symbol" w:hAnsi="Symbol" w:cs="Times New Roman" w:hint="default"/>
        <w:color w:val="auto"/>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77501754"/>
    <w:multiLevelType w:val="hybridMultilevel"/>
    <w:tmpl w:val="DEB8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FC6489"/>
    <w:multiLevelType w:val="hybridMultilevel"/>
    <w:tmpl w:val="308C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BA1FFB"/>
    <w:multiLevelType w:val="hybridMultilevel"/>
    <w:tmpl w:val="B3706070"/>
    <w:lvl w:ilvl="0" w:tplc="0809000F">
      <w:start w:val="6"/>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7"/>
  </w:num>
  <w:num w:numId="3">
    <w:abstractNumId w:val="6"/>
  </w:num>
  <w:num w:numId="4">
    <w:abstractNumId w:val="4"/>
  </w:num>
  <w:num w:numId="5">
    <w:abstractNumId w:val="16"/>
  </w:num>
  <w:num w:numId="6">
    <w:abstractNumId w:val="13"/>
  </w:num>
  <w:num w:numId="7">
    <w:abstractNumId w:val="2"/>
  </w:num>
  <w:num w:numId="8">
    <w:abstractNumId w:val="11"/>
  </w:num>
  <w:num w:numId="9">
    <w:abstractNumId w:val="10"/>
  </w:num>
  <w:num w:numId="10">
    <w:abstractNumId w:val="7"/>
  </w:num>
  <w:num w:numId="11">
    <w:abstractNumId w:val="19"/>
  </w:num>
  <w:num w:numId="12">
    <w:abstractNumId w:val="14"/>
  </w:num>
  <w:num w:numId="13">
    <w:abstractNumId w:val="18"/>
  </w:num>
  <w:num w:numId="14">
    <w:abstractNumId w:val="3"/>
  </w:num>
  <w:num w:numId="15">
    <w:abstractNumId w:val="12"/>
  </w:num>
  <w:num w:numId="16">
    <w:abstractNumId w:val="15"/>
  </w:num>
  <w:num w:numId="17">
    <w:abstractNumId w:val="8"/>
  </w:num>
  <w:num w:numId="18">
    <w:abstractNumId w:val="5"/>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1A"/>
    <w:rsid w:val="0004153A"/>
    <w:rsid w:val="00053D1C"/>
    <w:rsid w:val="00066061"/>
    <w:rsid w:val="00081139"/>
    <w:rsid w:val="000A02AC"/>
    <w:rsid w:val="000A6605"/>
    <w:rsid w:val="000A7A3E"/>
    <w:rsid w:val="000B4310"/>
    <w:rsid w:val="000B608A"/>
    <w:rsid w:val="000C1076"/>
    <w:rsid w:val="001059BC"/>
    <w:rsid w:val="001136F2"/>
    <w:rsid w:val="001821BE"/>
    <w:rsid w:val="0018578B"/>
    <w:rsid w:val="00190451"/>
    <w:rsid w:val="002255FC"/>
    <w:rsid w:val="00297160"/>
    <w:rsid w:val="002A32E8"/>
    <w:rsid w:val="002C2A94"/>
    <w:rsid w:val="002C2BE0"/>
    <w:rsid w:val="002C7B20"/>
    <w:rsid w:val="002E7E11"/>
    <w:rsid w:val="0034028E"/>
    <w:rsid w:val="003576A6"/>
    <w:rsid w:val="003B4510"/>
    <w:rsid w:val="004000D7"/>
    <w:rsid w:val="004011A3"/>
    <w:rsid w:val="004105B8"/>
    <w:rsid w:val="00415641"/>
    <w:rsid w:val="004D3FE4"/>
    <w:rsid w:val="00504E43"/>
    <w:rsid w:val="005921D5"/>
    <w:rsid w:val="005B27AF"/>
    <w:rsid w:val="005C53D8"/>
    <w:rsid w:val="005C6F5B"/>
    <w:rsid w:val="005D6D0B"/>
    <w:rsid w:val="005E5619"/>
    <w:rsid w:val="005F4966"/>
    <w:rsid w:val="006053F2"/>
    <w:rsid w:val="0061773F"/>
    <w:rsid w:val="00627632"/>
    <w:rsid w:val="00640D6F"/>
    <w:rsid w:val="006B61FA"/>
    <w:rsid w:val="006D74A0"/>
    <w:rsid w:val="00726C2F"/>
    <w:rsid w:val="00753C25"/>
    <w:rsid w:val="007908F4"/>
    <w:rsid w:val="007B2A3E"/>
    <w:rsid w:val="007D3BA8"/>
    <w:rsid w:val="007F7C57"/>
    <w:rsid w:val="00801FAC"/>
    <w:rsid w:val="0080740D"/>
    <w:rsid w:val="00833EC5"/>
    <w:rsid w:val="0085393A"/>
    <w:rsid w:val="008904D3"/>
    <w:rsid w:val="008A22C6"/>
    <w:rsid w:val="008C0226"/>
    <w:rsid w:val="008F041A"/>
    <w:rsid w:val="008F7A04"/>
    <w:rsid w:val="0093777B"/>
    <w:rsid w:val="00984342"/>
    <w:rsid w:val="009E4294"/>
    <w:rsid w:val="009E567F"/>
    <w:rsid w:val="009F566C"/>
    <w:rsid w:val="00A1725F"/>
    <w:rsid w:val="00A379A9"/>
    <w:rsid w:val="00AA7A09"/>
    <w:rsid w:val="00AC183E"/>
    <w:rsid w:val="00B1035E"/>
    <w:rsid w:val="00B3106D"/>
    <w:rsid w:val="00BF6598"/>
    <w:rsid w:val="00C00280"/>
    <w:rsid w:val="00C07F80"/>
    <w:rsid w:val="00CD16A1"/>
    <w:rsid w:val="00CD5966"/>
    <w:rsid w:val="00CE75FD"/>
    <w:rsid w:val="00CE7779"/>
    <w:rsid w:val="00D204D5"/>
    <w:rsid w:val="00D541CD"/>
    <w:rsid w:val="00D65461"/>
    <w:rsid w:val="00D70CD5"/>
    <w:rsid w:val="00DB6169"/>
    <w:rsid w:val="00DC69EF"/>
    <w:rsid w:val="00DE1871"/>
    <w:rsid w:val="00DF3616"/>
    <w:rsid w:val="00DF79A9"/>
    <w:rsid w:val="00E12421"/>
    <w:rsid w:val="00E14546"/>
    <w:rsid w:val="00E27FFB"/>
    <w:rsid w:val="00E464F9"/>
    <w:rsid w:val="00E7254F"/>
    <w:rsid w:val="00EB1FA6"/>
    <w:rsid w:val="00ED0C38"/>
    <w:rsid w:val="00F40976"/>
    <w:rsid w:val="00F903F7"/>
    <w:rsid w:val="00FD0F9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41A"/>
    <w:pPr>
      <w:autoSpaceDE w:val="0"/>
      <w:autoSpaceDN w:val="0"/>
      <w:adjustRightInd w:val="0"/>
    </w:pPr>
    <w:rPr>
      <w:color w:val="000000"/>
    </w:rPr>
  </w:style>
  <w:style w:type="character" w:customStyle="1" w:styleId="Firstpagetablebold">
    <w:name w:val="First page table: bold"/>
    <w:qFormat/>
    <w:rsid w:val="00081139"/>
    <w:rPr>
      <w:rFonts w:ascii="Arial" w:hAnsi="Arial"/>
      <w:b/>
      <w:sz w:val="24"/>
    </w:rPr>
  </w:style>
  <w:style w:type="paragraph" w:styleId="Header">
    <w:name w:val="header"/>
    <w:basedOn w:val="Normal"/>
    <w:link w:val="HeaderChar"/>
    <w:uiPriority w:val="99"/>
    <w:unhideWhenUsed/>
    <w:rsid w:val="00081139"/>
    <w:pPr>
      <w:tabs>
        <w:tab w:val="center" w:pos="4513"/>
        <w:tab w:val="right" w:pos="9026"/>
      </w:tabs>
    </w:pPr>
  </w:style>
  <w:style w:type="character" w:customStyle="1" w:styleId="HeaderChar">
    <w:name w:val="Header Char"/>
    <w:basedOn w:val="DefaultParagraphFont"/>
    <w:link w:val="Header"/>
    <w:uiPriority w:val="99"/>
    <w:rsid w:val="00081139"/>
  </w:style>
  <w:style w:type="paragraph" w:styleId="Footer">
    <w:name w:val="footer"/>
    <w:basedOn w:val="Normal"/>
    <w:link w:val="FooterChar"/>
    <w:uiPriority w:val="99"/>
    <w:unhideWhenUsed/>
    <w:rsid w:val="00081139"/>
    <w:pPr>
      <w:tabs>
        <w:tab w:val="center" w:pos="4513"/>
        <w:tab w:val="right" w:pos="9026"/>
      </w:tabs>
    </w:pPr>
  </w:style>
  <w:style w:type="character" w:customStyle="1" w:styleId="FooterChar">
    <w:name w:val="Footer Char"/>
    <w:basedOn w:val="DefaultParagraphFont"/>
    <w:link w:val="Footer"/>
    <w:uiPriority w:val="99"/>
    <w:rsid w:val="00081139"/>
  </w:style>
  <w:style w:type="paragraph" w:styleId="BalloonText">
    <w:name w:val="Balloon Text"/>
    <w:basedOn w:val="Normal"/>
    <w:link w:val="BalloonTextChar"/>
    <w:uiPriority w:val="99"/>
    <w:semiHidden/>
    <w:unhideWhenUsed/>
    <w:rsid w:val="002C2BE0"/>
    <w:rPr>
      <w:rFonts w:ascii="Tahoma" w:hAnsi="Tahoma" w:cs="Tahoma"/>
      <w:sz w:val="16"/>
      <w:szCs w:val="16"/>
    </w:rPr>
  </w:style>
  <w:style w:type="character" w:customStyle="1" w:styleId="BalloonTextChar">
    <w:name w:val="Balloon Text Char"/>
    <w:basedOn w:val="DefaultParagraphFont"/>
    <w:link w:val="BalloonText"/>
    <w:uiPriority w:val="99"/>
    <w:semiHidden/>
    <w:rsid w:val="002C2BE0"/>
    <w:rPr>
      <w:rFonts w:ascii="Tahoma" w:hAnsi="Tahoma" w:cs="Tahoma"/>
      <w:sz w:val="16"/>
      <w:szCs w:val="16"/>
    </w:rPr>
  </w:style>
  <w:style w:type="paragraph" w:styleId="ListParagraph">
    <w:name w:val="List Paragraph"/>
    <w:basedOn w:val="Normal"/>
    <w:uiPriority w:val="34"/>
    <w:qFormat/>
    <w:rsid w:val="002C2BE0"/>
    <w:pPr>
      <w:ind w:left="720"/>
      <w:contextualSpacing/>
    </w:pPr>
  </w:style>
  <w:style w:type="character" w:styleId="CommentReference">
    <w:name w:val="annotation reference"/>
    <w:basedOn w:val="DefaultParagraphFont"/>
    <w:uiPriority w:val="99"/>
    <w:semiHidden/>
    <w:unhideWhenUsed/>
    <w:rsid w:val="00B1035E"/>
    <w:rPr>
      <w:sz w:val="16"/>
      <w:szCs w:val="16"/>
    </w:rPr>
  </w:style>
  <w:style w:type="paragraph" w:styleId="CommentText">
    <w:name w:val="annotation text"/>
    <w:basedOn w:val="Normal"/>
    <w:link w:val="CommentTextChar"/>
    <w:uiPriority w:val="99"/>
    <w:semiHidden/>
    <w:unhideWhenUsed/>
    <w:rsid w:val="00B1035E"/>
    <w:rPr>
      <w:sz w:val="20"/>
      <w:szCs w:val="20"/>
    </w:rPr>
  </w:style>
  <w:style w:type="character" w:customStyle="1" w:styleId="CommentTextChar">
    <w:name w:val="Comment Text Char"/>
    <w:basedOn w:val="DefaultParagraphFont"/>
    <w:link w:val="CommentText"/>
    <w:uiPriority w:val="99"/>
    <w:semiHidden/>
    <w:rsid w:val="00B1035E"/>
    <w:rPr>
      <w:sz w:val="20"/>
      <w:szCs w:val="20"/>
    </w:rPr>
  </w:style>
  <w:style w:type="paragraph" w:styleId="CommentSubject">
    <w:name w:val="annotation subject"/>
    <w:basedOn w:val="CommentText"/>
    <w:next w:val="CommentText"/>
    <w:link w:val="CommentSubjectChar"/>
    <w:uiPriority w:val="99"/>
    <w:semiHidden/>
    <w:unhideWhenUsed/>
    <w:rsid w:val="00B1035E"/>
    <w:rPr>
      <w:b/>
      <w:bCs/>
    </w:rPr>
  </w:style>
  <w:style w:type="character" w:customStyle="1" w:styleId="CommentSubjectChar">
    <w:name w:val="Comment Subject Char"/>
    <w:basedOn w:val="CommentTextChar"/>
    <w:link w:val="CommentSubject"/>
    <w:uiPriority w:val="99"/>
    <w:semiHidden/>
    <w:rsid w:val="00B1035E"/>
    <w:rPr>
      <w:b/>
      <w:bCs/>
      <w:sz w:val="20"/>
      <w:szCs w:val="20"/>
    </w:rPr>
  </w:style>
  <w:style w:type="table" w:styleId="TableGrid">
    <w:name w:val="Table Grid"/>
    <w:basedOn w:val="TableNormal"/>
    <w:uiPriority w:val="59"/>
    <w:rsid w:val="00225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41A"/>
    <w:pPr>
      <w:autoSpaceDE w:val="0"/>
      <w:autoSpaceDN w:val="0"/>
      <w:adjustRightInd w:val="0"/>
    </w:pPr>
    <w:rPr>
      <w:color w:val="000000"/>
    </w:rPr>
  </w:style>
  <w:style w:type="character" w:customStyle="1" w:styleId="Firstpagetablebold">
    <w:name w:val="First page table: bold"/>
    <w:qFormat/>
    <w:rsid w:val="00081139"/>
    <w:rPr>
      <w:rFonts w:ascii="Arial" w:hAnsi="Arial"/>
      <w:b/>
      <w:sz w:val="24"/>
    </w:rPr>
  </w:style>
  <w:style w:type="paragraph" w:styleId="Header">
    <w:name w:val="header"/>
    <w:basedOn w:val="Normal"/>
    <w:link w:val="HeaderChar"/>
    <w:uiPriority w:val="99"/>
    <w:unhideWhenUsed/>
    <w:rsid w:val="00081139"/>
    <w:pPr>
      <w:tabs>
        <w:tab w:val="center" w:pos="4513"/>
        <w:tab w:val="right" w:pos="9026"/>
      </w:tabs>
    </w:pPr>
  </w:style>
  <w:style w:type="character" w:customStyle="1" w:styleId="HeaderChar">
    <w:name w:val="Header Char"/>
    <w:basedOn w:val="DefaultParagraphFont"/>
    <w:link w:val="Header"/>
    <w:uiPriority w:val="99"/>
    <w:rsid w:val="00081139"/>
  </w:style>
  <w:style w:type="paragraph" w:styleId="Footer">
    <w:name w:val="footer"/>
    <w:basedOn w:val="Normal"/>
    <w:link w:val="FooterChar"/>
    <w:uiPriority w:val="99"/>
    <w:unhideWhenUsed/>
    <w:rsid w:val="00081139"/>
    <w:pPr>
      <w:tabs>
        <w:tab w:val="center" w:pos="4513"/>
        <w:tab w:val="right" w:pos="9026"/>
      </w:tabs>
    </w:pPr>
  </w:style>
  <w:style w:type="character" w:customStyle="1" w:styleId="FooterChar">
    <w:name w:val="Footer Char"/>
    <w:basedOn w:val="DefaultParagraphFont"/>
    <w:link w:val="Footer"/>
    <w:uiPriority w:val="99"/>
    <w:rsid w:val="00081139"/>
  </w:style>
  <w:style w:type="paragraph" w:styleId="BalloonText">
    <w:name w:val="Balloon Text"/>
    <w:basedOn w:val="Normal"/>
    <w:link w:val="BalloonTextChar"/>
    <w:uiPriority w:val="99"/>
    <w:semiHidden/>
    <w:unhideWhenUsed/>
    <w:rsid w:val="002C2BE0"/>
    <w:rPr>
      <w:rFonts w:ascii="Tahoma" w:hAnsi="Tahoma" w:cs="Tahoma"/>
      <w:sz w:val="16"/>
      <w:szCs w:val="16"/>
    </w:rPr>
  </w:style>
  <w:style w:type="character" w:customStyle="1" w:styleId="BalloonTextChar">
    <w:name w:val="Balloon Text Char"/>
    <w:basedOn w:val="DefaultParagraphFont"/>
    <w:link w:val="BalloonText"/>
    <w:uiPriority w:val="99"/>
    <w:semiHidden/>
    <w:rsid w:val="002C2BE0"/>
    <w:rPr>
      <w:rFonts w:ascii="Tahoma" w:hAnsi="Tahoma" w:cs="Tahoma"/>
      <w:sz w:val="16"/>
      <w:szCs w:val="16"/>
    </w:rPr>
  </w:style>
  <w:style w:type="paragraph" w:styleId="ListParagraph">
    <w:name w:val="List Paragraph"/>
    <w:basedOn w:val="Normal"/>
    <w:uiPriority w:val="34"/>
    <w:qFormat/>
    <w:rsid w:val="002C2BE0"/>
    <w:pPr>
      <w:ind w:left="720"/>
      <w:contextualSpacing/>
    </w:pPr>
  </w:style>
  <w:style w:type="character" w:styleId="CommentReference">
    <w:name w:val="annotation reference"/>
    <w:basedOn w:val="DefaultParagraphFont"/>
    <w:uiPriority w:val="99"/>
    <w:semiHidden/>
    <w:unhideWhenUsed/>
    <w:rsid w:val="00B1035E"/>
    <w:rPr>
      <w:sz w:val="16"/>
      <w:szCs w:val="16"/>
    </w:rPr>
  </w:style>
  <w:style w:type="paragraph" w:styleId="CommentText">
    <w:name w:val="annotation text"/>
    <w:basedOn w:val="Normal"/>
    <w:link w:val="CommentTextChar"/>
    <w:uiPriority w:val="99"/>
    <w:semiHidden/>
    <w:unhideWhenUsed/>
    <w:rsid w:val="00B1035E"/>
    <w:rPr>
      <w:sz w:val="20"/>
      <w:szCs w:val="20"/>
    </w:rPr>
  </w:style>
  <w:style w:type="character" w:customStyle="1" w:styleId="CommentTextChar">
    <w:name w:val="Comment Text Char"/>
    <w:basedOn w:val="DefaultParagraphFont"/>
    <w:link w:val="CommentText"/>
    <w:uiPriority w:val="99"/>
    <w:semiHidden/>
    <w:rsid w:val="00B1035E"/>
    <w:rPr>
      <w:sz w:val="20"/>
      <w:szCs w:val="20"/>
    </w:rPr>
  </w:style>
  <w:style w:type="paragraph" w:styleId="CommentSubject">
    <w:name w:val="annotation subject"/>
    <w:basedOn w:val="CommentText"/>
    <w:next w:val="CommentText"/>
    <w:link w:val="CommentSubjectChar"/>
    <w:uiPriority w:val="99"/>
    <w:semiHidden/>
    <w:unhideWhenUsed/>
    <w:rsid w:val="00B1035E"/>
    <w:rPr>
      <w:b/>
      <w:bCs/>
    </w:rPr>
  </w:style>
  <w:style w:type="character" w:customStyle="1" w:styleId="CommentSubjectChar">
    <w:name w:val="Comment Subject Char"/>
    <w:basedOn w:val="CommentTextChar"/>
    <w:link w:val="CommentSubject"/>
    <w:uiPriority w:val="99"/>
    <w:semiHidden/>
    <w:rsid w:val="00B1035E"/>
    <w:rPr>
      <w:b/>
      <w:bCs/>
      <w:sz w:val="20"/>
      <w:szCs w:val="20"/>
    </w:rPr>
  </w:style>
  <w:style w:type="table" w:styleId="TableGrid">
    <w:name w:val="Table Grid"/>
    <w:basedOn w:val="TableNormal"/>
    <w:uiPriority w:val="59"/>
    <w:rsid w:val="00225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91761-21A1-4190-8CA6-3D029DE7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52272EC1</Template>
  <TotalTime>4</TotalTime>
  <Pages>5</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bgraves</dc:creator>
  <cp:lastModifiedBy>cphythian</cp:lastModifiedBy>
  <cp:revision>4</cp:revision>
  <cp:lastPrinted>2017-08-09T07:09:00Z</cp:lastPrinted>
  <dcterms:created xsi:type="dcterms:W3CDTF">2018-03-09T14:51:00Z</dcterms:created>
  <dcterms:modified xsi:type="dcterms:W3CDTF">2018-03-12T14:00:00Z</dcterms:modified>
</cp:coreProperties>
</file>